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E3E37" w:rsidRDefault="009703A9" w:rsidP="00494130">
      <w:pPr>
        <w:pStyle w:val="Heading1"/>
        <w:spacing w:before="170"/>
        <w:ind w:left="0"/>
      </w:pPr>
      <w:r w:rsidRPr="009703A9">
        <w:rPr>
          <w:color w:val="337AB7"/>
        </w:rPr>
        <w:t>Passive controlled-rate freezing method is parallel to active controlled-rate freezing method for cryopreserving mobilized peripheral blood progenitor cells.</w:t>
      </w:r>
    </w:p>
    <w:p w:rsidR="009703A9" w:rsidRDefault="009703A9" w:rsidP="000A1F05">
      <w:pPr>
        <w:pStyle w:val="BodyText"/>
        <w:spacing w:before="73" w:line="198" w:lineRule="exact"/>
        <w:ind w:left="100" w:right="5728"/>
        <w:rPr>
          <w:rFonts w:ascii="Arial"/>
        </w:rPr>
      </w:pPr>
      <w:r>
        <w:rPr>
          <w:rFonts w:ascii="Arial"/>
        </w:rPr>
        <w:t xml:space="preserve">Amal </w:t>
      </w:r>
      <w:proofErr w:type="spellStart"/>
      <w:r>
        <w:rPr>
          <w:rFonts w:ascii="Arial"/>
        </w:rPr>
        <w:t>Mohd</w:t>
      </w:r>
      <w:proofErr w:type="spellEnd"/>
      <w:r>
        <w:rPr>
          <w:rFonts w:ascii="Arial"/>
        </w:rPr>
        <w:t xml:space="preserve"> </w:t>
      </w:r>
      <w:proofErr w:type="spellStart"/>
      <w:r>
        <w:rPr>
          <w:rFonts w:ascii="Arial"/>
        </w:rPr>
        <w:t>Dawam</w:t>
      </w:r>
      <w:proofErr w:type="spellEnd"/>
      <w:r w:rsidR="005973B9">
        <w:rPr>
          <w:rFonts w:ascii="Arial"/>
        </w:rPr>
        <w:t>,</w:t>
      </w:r>
      <w:r>
        <w:rPr>
          <w:rFonts w:ascii="Arial"/>
        </w:rPr>
        <w:t xml:space="preserve"> MSc</w:t>
      </w:r>
      <w:r w:rsidR="005973B9">
        <w:rPr>
          <w:rFonts w:ascii="Arial"/>
        </w:rPr>
        <w:t xml:space="preserve">, </w:t>
      </w:r>
      <w:r>
        <w:rPr>
          <w:rFonts w:ascii="Arial"/>
        </w:rPr>
        <w:t>KLSMC Stem Cells, Malaysia</w:t>
      </w:r>
    </w:p>
    <w:p w:rsidR="005973B9" w:rsidRDefault="0003739F" w:rsidP="000A1F05">
      <w:pPr>
        <w:pStyle w:val="BodyText"/>
        <w:spacing w:before="73" w:line="198" w:lineRule="exact"/>
        <w:ind w:left="100" w:right="5728"/>
        <w:rPr>
          <w:rFonts w:ascii="Arial"/>
        </w:rPr>
      </w:pPr>
      <w:r>
        <w:rPr>
          <w:rFonts w:ascii="Arial"/>
        </w:rPr>
        <w:t xml:space="preserve">Alisha </w:t>
      </w:r>
      <w:proofErr w:type="spellStart"/>
      <w:r>
        <w:rPr>
          <w:rFonts w:ascii="Arial"/>
        </w:rPr>
        <w:t>Ramlan</w:t>
      </w:r>
      <w:proofErr w:type="spellEnd"/>
      <w:r>
        <w:rPr>
          <w:rFonts w:ascii="Arial"/>
        </w:rPr>
        <w:t>,</w:t>
      </w:r>
      <w:r w:rsidR="005973B9">
        <w:rPr>
          <w:rFonts w:ascii="Arial"/>
        </w:rPr>
        <w:t xml:space="preserve"> </w:t>
      </w:r>
      <w:r w:rsidR="009703A9">
        <w:rPr>
          <w:rFonts w:ascii="Arial"/>
        </w:rPr>
        <w:t>BSc</w:t>
      </w:r>
      <w:r w:rsidR="005973B9">
        <w:rPr>
          <w:rFonts w:ascii="Arial"/>
        </w:rPr>
        <w:t xml:space="preserve">, </w:t>
      </w:r>
      <w:r>
        <w:rPr>
          <w:rFonts w:ascii="Arial"/>
        </w:rPr>
        <w:t>KLSMC Stem Cells</w:t>
      </w:r>
      <w:r w:rsidR="005973B9">
        <w:rPr>
          <w:rFonts w:ascii="Arial"/>
        </w:rPr>
        <w:t>,</w:t>
      </w:r>
      <w:r w:rsidR="009703A9">
        <w:rPr>
          <w:rFonts w:ascii="Arial"/>
        </w:rPr>
        <w:t xml:space="preserve"> Malaysia</w:t>
      </w:r>
    </w:p>
    <w:p w:rsidR="009703A9" w:rsidRDefault="009703A9" w:rsidP="000A1F05">
      <w:pPr>
        <w:pStyle w:val="BodyText"/>
        <w:spacing w:before="73" w:line="198" w:lineRule="exact"/>
        <w:ind w:left="100" w:right="5728"/>
        <w:rPr>
          <w:rFonts w:ascii="Arial"/>
        </w:rPr>
      </w:pPr>
      <w:r>
        <w:rPr>
          <w:rFonts w:ascii="Arial"/>
        </w:rPr>
        <w:t xml:space="preserve">Saw </w:t>
      </w:r>
      <w:proofErr w:type="spellStart"/>
      <w:r>
        <w:rPr>
          <w:rFonts w:ascii="Arial"/>
        </w:rPr>
        <w:t>Khay</w:t>
      </w:r>
      <w:proofErr w:type="spellEnd"/>
      <w:r>
        <w:rPr>
          <w:rFonts w:ascii="Arial"/>
        </w:rPr>
        <w:t xml:space="preserve"> Yong, </w:t>
      </w:r>
      <w:proofErr w:type="spellStart"/>
      <w:r w:rsidR="000A1F05">
        <w:rPr>
          <w:rFonts w:ascii="Arial"/>
        </w:rPr>
        <w:t>MCh</w:t>
      </w:r>
      <w:proofErr w:type="spellEnd"/>
      <w:r w:rsidR="000A1F05">
        <w:rPr>
          <w:rFonts w:ascii="Arial"/>
        </w:rPr>
        <w:t xml:space="preserve"> Orth, </w:t>
      </w:r>
      <w:r>
        <w:rPr>
          <w:rFonts w:ascii="Arial"/>
        </w:rPr>
        <w:t>FRCS</w:t>
      </w:r>
      <w:r w:rsidR="000A1F05">
        <w:rPr>
          <w:rFonts w:ascii="Arial"/>
        </w:rPr>
        <w:t>, KLSMC</w:t>
      </w:r>
      <w:r w:rsidR="0003739F">
        <w:rPr>
          <w:rFonts w:ascii="Arial"/>
        </w:rPr>
        <w:t>, Malaysia</w:t>
      </w:r>
    </w:p>
    <w:p w:rsidR="009703A9" w:rsidRDefault="009703A9" w:rsidP="000A1F05">
      <w:pPr>
        <w:pStyle w:val="BodyText"/>
        <w:spacing w:before="73" w:line="198" w:lineRule="exact"/>
        <w:ind w:left="100" w:right="5728"/>
        <w:rPr>
          <w:rFonts w:ascii="Arial"/>
        </w:rPr>
      </w:pPr>
      <w:r>
        <w:rPr>
          <w:rFonts w:ascii="Arial"/>
        </w:rPr>
        <w:t>Koh Wai Choong</w:t>
      </w:r>
      <w:r w:rsidR="0003739F">
        <w:rPr>
          <w:rFonts w:ascii="Arial"/>
        </w:rPr>
        <w:t>, BA, KLSMC Stem Cells, Malaysia</w:t>
      </w:r>
    </w:p>
    <w:p w:rsidR="009703A9" w:rsidRDefault="009703A9" w:rsidP="000A1F05">
      <w:pPr>
        <w:pStyle w:val="BodyText"/>
        <w:spacing w:before="73" w:line="198" w:lineRule="exact"/>
        <w:ind w:left="100" w:right="5728"/>
        <w:rPr>
          <w:rFonts w:ascii="Arial"/>
        </w:rPr>
      </w:pPr>
      <w:r>
        <w:rPr>
          <w:rFonts w:ascii="Arial"/>
        </w:rPr>
        <w:t>Caroline</w:t>
      </w:r>
      <w:r w:rsidR="000A1F05">
        <w:rPr>
          <w:rFonts w:ascii="Arial"/>
        </w:rPr>
        <w:t xml:space="preserve"> Siew-Yoke</w:t>
      </w:r>
      <w:r>
        <w:rPr>
          <w:rFonts w:ascii="Arial"/>
        </w:rPr>
        <w:t xml:space="preserve"> </w:t>
      </w:r>
      <w:proofErr w:type="spellStart"/>
      <w:r>
        <w:rPr>
          <w:rFonts w:ascii="Arial"/>
        </w:rPr>
        <w:t>Jee</w:t>
      </w:r>
      <w:proofErr w:type="spellEnd"/>
      <w:r>
        <w:rPr>
          <w:rFonts w:ascii="Arial"/>
        </w:rPr>
        <w:t xml:space="preserve">, </w:t>
      </w:r>
      <w:proofErr w:type="spellStart"/>
      <w:r>
        <w:rPr>
          <w:rFonts w:ascii="Arial"/>
        </w:rPr>
        <w:t>Phd</w:t>
      </w:r>
      <w:proofErr w:type="spellEnd"/>
      <w:r w:rsidR="0003739F">
        <w:rPr>
          <w:rFonts w:ascii="Arial"/>
        </w:rPr>
        <w:t>, KLSMC Stem Cells,</w:t>
      </w:r>
      <w:r w:rsidR="000A1F05">
        <w:rPr>
          <w:rFonts w:ascii="Arial"/>
        </w:rPr>
        <w:t xml:space="preserve"> </w:t>
      </w:r>
      <w:r w:rsidR="0003739F">
        <w:rPr>
          <w:rFonts w:ascii="Arial"/>
        </w:rPr>
        <w:t>Malaysia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(300 word limit)</w:t>
      </w:r>
    </w:p>
    <w:p w:rsidR="0088450A" w:rsidRPr="0088450A" w:rsidRDefault="0088450A" w:rsidP="0088450A">
      <w:pPr>
        <w:pStyle w:val="BodyText"/>
        <w:spacing w:before="90" w:line="280" w:lineRule="auto"/>
        <w:ind w:left="100"/>
        <w:jc w:val="both"/>
      </w:pPr>
      <w:r w:rsidRPr="0088450A">
        <w:t xml:space="preserve">Cell-based therapy research is rapidly growing all over the world. Despite promising results, one of the challenges of providing cell-based therapy to patients is the cost associated with cell processing and cryopreservation. Cryopreservation is a process where cells are preserved with their structures and functions intact for storage or transportation purposes. Conventionally, cells are cryopreserved using active controlled-rate freezer at a typical rate of -1°C per minute that requires high consumption of liquid nitrogen which is costly. In comparison, passive controlled-rate freezer such as </w:t>
      </w:r>
      <w:proofErr w:type="spellStart"/>
      <w:r w:rsidRPr="0088450A">
        <w:t>CoolCell</w:t>
      </w:r>
      <w:proofErr w:type="spellEnd"/>
      <w:r w:rsidRPr="0088450A">
        <w:t>® container (</w:t>
      </w:r>
      <w:proofErr w:type="spellStart"/>
      <w:r w:rsidRPr="0088450A">
        <w:t>BioCision</w:t>
      </w:r>
      <w:proofErr w:type="spellEnd"/>
      <w:r w:rsidRPr="0088450A">
        <w:t xml:space="preserve">, LLC) requires minimal cost to cryopreserve cells at the same cooling rate as controlled rate freezer. </w:t>
      </w:r>
    </w:p>
    <w:p w:rsidR="0088450A" w:rsidRPr="0088450A" w:rsidRDefault="0088450A" w:rsidP="0088450A">
      <w:pPr>
        <w:pStyle w:val="BodyText"/>
        <w:spacing w:before="90" w:line="280" w:lineRule="auto"/>
        <w:ind w:left="100"/>
        <w:jc w:val="both"/>
      </w:pPr>
      <w:r w:rsidRPr="0088450A">
        <w:t xml:space="preserve">This study compares the quality of mobilized peripheral blood progenitor cells (PBPC) after cryopreservation using controlled rate freezer and </w:t>
      </w:r>
      <w:proofErr w:type="spellStart"/>
      <w:r w:rsidRPr="0088450A">
        <w:t>CoolCell</w:t>
      </w:r>
      <w:proofErr w:type="spellEnd"/>
      <w:r w:rsidRPr="0088450A">
        <w:t xml:space="preserve">® container. PBPC are harvested using apheresis, cryopreserved using 10% dimethyl sulfoxide, divided in 5ml cryovials using both controlled-rate freezer and </w:t>
      </w:r>
      <w:proofErr w:type="spellStart"/>
      <w:r w:rsidRPr="0088450A">
        <w:t>CoolCell</w:t>
      </w:r>
      <w:proofErr w:type="spellEnd"/>
      <w:r w:rsidRPr="0088450A">
        <w:t xml:space="preserve">® container. Cell recovery, viability and CD34+ cell count using the two methods from the same subjects will be compared. The results will be statistically analyzed to determine whether the quality of cells cryopreserved using passive controlled-rate freezing method, </w:t>
      </w:r>
      <w:proofErr w:type="spellStart"/>
      <w:r w:rsidRPr="0088450A">
        <w:t>CoolCell</w:t>
      </w:r>
      <w:proofErr w:type="spellEnd"/>
      <w:r w:rsidRPr="0088450A">
        <w:t xml:space="preserve">® is comparable to controlled-rate freezer. </w:t>
      </w:r>
    </w:p>
    <w:p w:rsidR="0088450A" w:rsidRPr="0088450A" w:rsidRDefault="0088450A" w:rsidP="0088450A">
      <w:pPr>
        <w:pStyle w:val="BodyText"/>
        <w:spacing w:before="90" w:line="280" w:lineRule="auto"/>
        <w:ind w:left="100"/>
        <w:jc w:val="both"/>
      </w:pPr>
      <w:r w:rsidRPr="0088450A">
        <w:t xml:space="preserve">There were no statistically significant differences in CD34+ cell count and total viable cell count using both methods. However, there was a significant difference in mean cell viability where the cells cryopreserved using controlled-rate freezer has higher viability (78.86 ± 7.13%) compared to the cells cryopreserved using </w:t>
      </w:r>
      <w:proofErr w:type="spellStart"/>
      <w:r w:rsidRPr="0088450A">
        <w:t>CoolCell</w:t>
      </w:r>
      <w:proofErr w:type="spellEnd"/>
      <w:r w:rsidRPr="0088450A">
        <w:t xml:space="preserve">® (75.92 ± 6.75%). Nevertheless, the mean difference of cell viability (3.04 ± 1.36%) can be considered as minimal and the mean viability for cells cryopreserved using </w:t>
      </w:r>
      <w:proofErr w:type="spellStart"/>
      <w:r w:rsidRPr="0088450A">
        <w:t>CoolCell</w:t>
      </w:r>
      <w:proofErr w:type="spellEnd"/>
      <w:r w:rsidRPr="0088450A">
        <w:t xml:space="preserve">® was within the accepted range of above 70%. These results suggest that passive controlled-rate freezing using </w:t>
      </w:r>
      <w:proofErr w:type="spellStart"/>
      <w:r w:rsidRPr="0088450A">
        <w:t>CoolCell</w:t>
      </w:r>
      <w:proofErr w:type="spellEnd"/>
      <w:r w:rsidRPr="0088450A">
        <w:t xml:space="preserve">® can be a cost saving alternative for cryopreservation of mobilized peripheral blood stem cells in cell therapy applications. </w:t>
      </w:r>
    </w:p>
    <w:p w:rsidR="00AE3E37" w:rsidRDefault="00AE3E37">
      <w:pPr>
        <w:pStyle w:val="BodyText"/>
        <w:spacing w:before="90" w:line="280" w:lineRule="auto"/>
        <w:ind w:left="100"/>
        <w:jc w:val="both"/>
      </w:pPr>
    </w:p>
    <w:p w:rsidR="00AE3E37" w:rsidRDefault="00A9710C">
      <w:pPr>
        <w:pStyle w:val="Heading3"/>
        <w:spacing w:before="74"/>
      </w:pPr>
      <w:r>
        <w:rPr>
          <w:b w:val="0"/>
        </w:rPr>
        <w:br w:type="column"/>
      </w:r>
      <w:r>
        <w:rPr>
          <w:color w:val="BF5A14"/>
        </w:rPr>
        <w:t>Image</w:t>
      </w:r>
      <w:r w:rsidR="00CF1FF5" w:rsidRPr="00CF1FF5">
        <w:rPr>
          <w:rStyle w:val="Normal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CF1FF5" w:rsidRPr="00CF1FF5">
        <w:rPr>
          <w:noProof/>
          <w:color w:val="BF5A14"/>
        </w:rPr>
        <w:drawing>
          <wp:inline distT="0" distB="0" distL="0" distR="0">
            <wp:extent cx="3165475" cy="1780580"/>
            <wp:effectExtent l="0" t="0" r="0" b="0"/>
            <wp:docPr id="2" name="Picture 2" descr="C:\Users\Amal\Desktop\Abstract Figure\Slide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mal\Desktop\Abstract Figure\Slide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5475" cy="1780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3E37" w:rsidRDefault="00AE3E37">
      <w:pPr>
        <w:pStyle w:val="BodyText"/>
        <w:spacing w:before="2"/>
        <w:rPr>
          <w:rFonts w:ascii="Arial"/>
          <w:b/>
          <w:sz w:val="16"/>
        </w:rPr>
      </w:pP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53207A" w:rsidRPr="0053207A" w:rsidRDefault="0053207A" w:rsidP="0053207A">
      <w:pPr>
        <w:numPr>
          <w:ilvl w:val="0"/>
          <w:numId w:val="4"/>
        </w:numPr>
        <w:tabs>
          <w:tab w:val="left" w:pos="384"/>
        </w:tabs>
        <w:ind w:right="117"/>
        <w:jc w:val="both"/>
        <w:rPr>
          <w:sz w:val="18"/>
        </w:rPr>
      </w:pPr>
      <w:r w:rsidRPr="0053207A">
        <w:rPr>
          <w:sz w:val="18"/>
        </w:rPr>
        <w:t>Thompson M.L., Kunkel E.J., Ehrhardt R.O. (2017) Standardized Cryopreservation of Stem Cells. In: Srivastava A., Snyder E., Teng Y. (</w:t>
      </w:r>
      <w:proofErr w:type="spellStart"/>
      <w:r w:rsidRPr="0053207A">
        <w:rPr>
          <w:sz w:val="18"/>
        </w:rPr>
        <w:t>eds</w:t>
      </w:r>
      <w:proofErr w:type="spellEnd"/>
      <w:r w:rsidRPr="0053207A">
        <w:rPr>
          <w:sz w:val="18"/>
        </w:rPr>
        <w:t xml:space="preserve">) Stem Cell Technologies in Neuroscience. </w:t>
      </w:r>
      <w:proofErr w:type="spellStart"/>
      <w:r w:rsidRPr="0053207A">
        <w:rPr>
          <w:sz w:val="18"/>
        </w:rPr>
        <w:t>Neuromethods</w:t>
      </w:r>
      <w:proofErr w:type="spellEnd"/>
      <w:r w:rsidRPr="0053207A">
        <w:rPr>
          <w:sz w:val="18"/>
        </w:rPr>
        <w:t xml:space="preserve">, </w:t>
      </w:r>
      <w:proofErr w:type="spellStart"/>
      <w:r w:rsidRPr="0053207A">
        <w:rPr>
          <w:sz w:val="18"/>
        </w:rPr>
        <w:t>vol</w:t>
      </w:r>
      <w:proofErr w:type="spellEnd"/>
      <w:r w:rsidRPr="0053207A">
        <w:rPr>
          <w:sz w:val="18"/>
        </w:rPr>
        <w:t xml:space="preserve"> 126. Humana Press, New York, NY</w:t>
      </w:r>
    </w:p>
    <w:p w:rsidR="0039094C" w:rsidRPr="0053207A" w:rsidRDefault="004179D4" w:rsidP="0053207A">
      <w:pPr>
        <w:numPr>
          <w:ilvl w:val="0"/>
          <w:numId w:val="4"/>
        </w:numPr>
        <w:tabs>
          <w:tab w:val="left" w:pos="384"/>
        </w:tabs>
        <w:ind w:right="117"/>
        <w:jc w:val="both"/>
        <w:rPr>
          <w:sz w:val="18"/>
        </w:rPr>
      </w:pPr>
      <w:r w:rsidRPr="0053207A">
        <w:rPr>
          <w:sz w:val="18"/>
        </w:rPr>
        <w:t>Haack-</w:t>
      </w:r>
      <w:proofErr w:type="spellStart"/>
      <w:r w:rsidRPr="0053207A">
        <w:rPr>
          <w:sz w:val="18"/>
        </w:rPr>
        <w:t>Sørensen</w:t>
      </w:r>
      <w:proofErr w:type="spellEnd"/>
      <w:r w:rsidRPr="0053207A">
        <w:rPr>
          <w:sz w:val="18"/>
        </w:rPr>
        <w:t xml:space="preserve"> M., </w:t>
      </w:r>
      <w:proofErr w:type="spellStart"/>
      <w:r w:rsidRPr="0053207A">
        <w:rPr>
          <w:sz w:val="18"/>
        </w:rPr>
        <w:t>Ekblond</w:t>
      </w:r>
      <w:proofErr w:type="spellEnd"/>
      <w:r w:rsidRPr="0053207A">
        <w:rPr>
          <w:sz w:val="18"/>
        </w:rPr>
        <w:t xml:space="preserve"> A., Kastrup J. (2016) Cryopreservation and Revival of Human Mesenchymal Stromal Cells. In: </w:t>
      </w:r>
      <w:proofErr w:type="spellStart"/>
      <w:r w:rsidRPr="0053207A">
        <w:rPr>
          <w:sz w:val="18"/>
        </w:rPr>
        <w:t>Gnecchi</w:t>
      </w:r>
      <w:proofErr w:type="spellEnd"/>
      <w:r w:rsidRPr="0053207A">
        <w:rPr>
          <w:sz w:val="18"/>
        </w:rPr>
        <w:t xml:space="preserve"> M. (</w:t>
      </w:r>
      <w:proofErr w:type="spellStart"/>
      <w:r w:rsidRPr="0053207A">
        <w:rPr>
          <w:sz w:val="18"/>
        </w:rPr>
        <w:t>eds</w:t>
      </w:r>
      <w:proofErr w:type="spellEnd"/>
      <w:r w:rsidRPr="0053207A">
        <w:rPr>
          <w:sz w:val="18"/>
        </w:rPr>
        <w:t>) Mesenchymal Stem Cells. Method</w:t>
      </w:r>
      <w:r w:rsidRPr="0053207A">
        <w:rPr>
          <w:sz w:val="18"/>
        </w:rPr>
        <w:t xml:space="preserve">s in Molecular Biology, </w:t>
      </w:r>
      <w:proofErr w:type="spellStart"/>
      <w:r w:rsidRPr="0053207A">
        <w:rPr>
          <w:sz w:val="18"/>
        </w:rPr>
        <w:t>vol</w:t>
      </w:r>
      <w:proofErr w:type="spellEnd"/>
      <w:r w:rsidRPr="0053207A">
        <w:rPr>
          <w:sz w:val="18"/>
        </w:rPr>
        <w:t xml:space="preserve"> 1416. Humana Press, New York, NY</w:t>
      </w:r>
    </w:p>
    <w:p w:rsidR="0053207A" w:rsidRPr="0053207A" w:rsidRDefault="0053207A" w:rsidP="0053207A">
      <w:pPr>
        <w:numPr>
          <w:ilvl w:val="0"/>
          <w:numId w:val="4"/>
        </w:numPr>
        <w:tabs>
          <w:tab w:val="left" w:pos="384"/>
        </w:tabs>
        <w:ind w:right="117"/>
        <w:jc w:val="both"/>
        <w:rPr>
          <w:sz w:val="18"/>
        </w:rPr>
      </w:pPr>
      <w:r w:rsidRPr="0053207A">
        <w:rPr>
          <w:sz w:val="18"/>
        </w:rPr>
        <w:t>Ramos, T. V., Mathew, A. J., Thompson, M. L. and Ehrhardt, R. O. (2014) Standardized Cryopreservation of Human Primary Cells. Current Protocols in Cell Biology, 64: A.3I.1-A.3I.8. </w:t>
      </w:r>
    </w:p>
    <w:p w:rsidR="0053207A" w:rsidRPr="0053207A" w:rsidRDefault="0053207A" w:rsidP="0053207A">
      <w:pPr>
        <w:numPr>
          <w:ilvl w:val="0"/>
          <w:numId w:val="4"/>
        </w:numPr>
        <w:tabs>
          <w:tab w:val="left" w:pos="384"/>
        </w:tabs>
        <w:ind w:right="117"/>
        <w:jc w:val="both"/>
        <w:rPr>
          <w:sz w:val="18"/>
        </w:rPr>
      </w:pPr>
      <w:r w:rsidRPr="0053207A">
        <w:rPr>
          <w:sz w:val="18"/>
        </w:rPr>
        <w:t xml:space="preserve">Thompson M. (2014) </w:t>
      </w:r>
      <w:r w:rsidR="004179D4" w:rsidRPr="0053207A">
        <w:rPr>
          <w:sz w:val="18"/>
        </w:rPr>
        <w:t>Freezing Containers for Cell Preservation</w:t>
      </w:r>
      <w:r w:rsidRPr="0053207A">
        <w:rPr>
          <w:sz w:val="18"/>
        </w:rPr>
        <w:t>.</w:t>
      </w:r>
      <w:r w:rsidR="004179D4" w:rsidRPr="0053207A">
        <w:rPr>
          <w:sz w:val="18"/>
        </w:rPr>
        <w:t xml:space="preserve"> Genetic Engin</w:t>
      </w:r>
      <w:r w:rsidRPr="0053207A">
        <w:rPr>
          <w:sz w:val="18"/>
        </w:rPr>
        <w:t>eering &amp; Biotechnology News,</w:t>
      </w:r>
      <w:r w:rsidR="004179D4" w:rsidRPr="0053207A">
        <w:rPr>
          <w:sz w:val="18"/>
        </w:rPr>
        <w:t xml:space="preserve"> 34:11, 16-17</w:t>
      </w:r>
      <w:r w:rsidRPr="0053207A">
        <w:rPr>
          <w:sz w:val="18"/>
        </w:rPr>
        <w:t>.</w:t>
      </w:r>
    </w:p>
    <w:p w:rsidR="00851B56" w:rsidRPr="0053207A" w:rsidRDefault="0053207A" w:rsidP="0053207A">
      <w:pPr>
        <w:numPr>
          <w:ilvl w:val="0"/>
          <w:numId w:val="4"/>
        </w:numPr>
        <w:tabs>
          <w:tab w:val="left" w:pos="384"/>
        </w:tabs>
        <w:ind w:right="117"/>
        <w:jc w:val="both"/>
        <w:rPr>
          <w:sz w:val="18"/>
        </w:rPr>
      </w:pPr>
      <w:proofErr w:type="spellStart"/>
      <w:r w:rsidRPr="0053207A">
        <w:rPr>
          <w:sz w:val="18"/>
        </w:rPr>
        <w:t>Foussat</w:t>
      </w:r>
      <w:proofErr w:type="spellEnd"/>
      <w:r w:rsidRPr="0053207A">
        <w:rPr>
          <w:sz w:val="18"/>
        </w:rPr>
        <w:t xml:space="preserve"> A., </w:t>
      </w:r>
      <w:proofErr w:type="spellStart"/>
      <w:r w:rsidRPr="0053207A">
        <w:rPr>
          <w:sz w:val="18"/>
        </w:rPr>
        <w:t>Rietze</w:t>
      </w:r>
      <w:proofErr w:type="spellEnd"/>
      <w:r w:rsidRPr="0053207A">
        <w:rPr>
          <w:sz w:val="18"/>
        </w:rPr>
        <w:t xml:space="preserve"> R., </w:t>
      </w:r>
      <w:proofErr w:type="spellStart"/>
      <w:r w:rsidRPr="0053207A">
        <w:rPr>
          <w:sz w:val="18"/>
        </w:rPr>
        <w:t>Pottier</w:t>
      </w:r>
      <w:proofErr w:type="spellEnd"/>
      <w:r w:rsidRPr="0053207A">
        <w:rPr>
          <w:sz w:val="18"/>
        </w:rPr>
        <w:t xml:space="preserve"> E., </w:t>
      </w:r>
      <w:proofErr w:type="spellStart"/>
      <w:r w:rsidRPr="0053207A">
        <w:rPr>
          <w:sz w:val="18"/>
        </w:rPr>
        <w:t>Schryver</w:t>
      </w:r>
      <w:proofErr w:type="spellEnd"/>
      <w:r w:rsidRPr="0053207A">
        <w:rPr>
          <w:sz w:val="18"/>
        </w:rPr>
        <w:t xml:space="preserve"> B., Thompson M.L., Ehrhardt R.O. (2014) Effective Cryopreservation and Recovery of Human Regulatory T Cells. Bioprocess International</w:t>
      </w:r>
      <w:r w:rsidR="000772FE">
        <w:rPr>
          <w:sz w:val="18"/>
        </w:rPr>
        <w:t>, 12</w:t>
      </w:r>
      <w:bookmarkStart w:id="0" w:name="_GoBack"/>
      <w:bookmarkEnd w:id="0"/>
      <w:r w:rsidRPr="0053207A">
        <w:rPr>
          <w:sz w:val="18"/>
        </w:rPr>
        <w:t xml:space="preserve"> (S3):34–38.</w:t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9A7951E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>
        <w:rPr>
          <w:noProof/>
          <w:lang w:val="en-IN" w:eastAsia="en-IN"/>
        </w:rPr>
        <w:drawing>
          <wp:inline distT="0" distB="0" distL="0" distR="0" wp14:anchorId="1B650C0E" wp14:editId="0E8C3C7F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851B56" w:rsidRPr="00687C19" w:rsidRDefault="00687C19" w:rsidP="00687C19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687C19">
        <w:rPr>
          <w:rFonts w:ascii="Arial"/>
          <w:sz w:val="14"/>
        </w:rPr>
        <w:t xml:space="preserve">Amal </w:t>
      </w:r>
      <w:proofErr w:type="spellStart"/>
      <w:r w:rsidRPr="00687C19">
        <w:rPr>
          <w:rFonts w:ascii="Arial"/>
          <w:sz w:val="14"/>
        </w:rPr>
        <w:t>Mohd</w:t>
      </w:r>
      <w:proofErr w:type="spellEnd"/>
      <w:r w:rsidRPr="00687C19">
        <w:rPr>
          <w:rFonts w:ascii="Arial"/>
          <w:sz w:val="14"/>
        </w:rPr>
        <w:t xml:space="preserve"> </w:t>
      </w:r>
      <w:proofErr w:type="spellStart"/>
      <w:r w:rsidRPr="00687C19">
        <w:rPr>
          <w:rFonts w:ascii="Arial"/>
          <w:sz w:val="14"/>
        </w:rPr>
        <w:t>Dawam</w:t>
      </w:r>
      <w:proofErr w:type="spellEnd"/>
      <w:r w:rsidRPr="00687C19">
        <w:rPr>
          <w:rFonts w:ascii="Arial"/>
          <w:sz w:val="14"/>
        </w:rPr>
        <w:t xml:space="preserve"> started her research career in mammalian cell culture and monoclonal antibody production. She is currently with KLSMC Stem Cells</w:t>
      </w:r>
      <w:r w:rsidR="00E3739D">
        <w:rPr>
          <w:rFonts w:ascii="Arial"/>
          <w:sz w:val="14"/>
        </w:rPr>
        <w:t>,</w:t>
      </w:r>
      <w:r w:rsidRPr="00687C19">
        <w:rPr>
          <w:rFonts w:ascii="Arial"/>
          <w:sz w:val="14"/>
        </w:rPr>
        <w:t xml:space="preserve"> exploring the potential of stem cell</w:t>
      </w:r>
      <w:r>
        <w:rPr>
          <w:rFonts w:ascii="Arial"/>
          <w:sz w:val="14"/>
        </w:rPr>
        <w:t>-based therapy</w:t>
      </w:r>
      <w:r w:rsidRPr="00687C19">
        <w:rPr>
          <w:rFonts w:ascii="Arial"/>
          <w:sz w:val="14"/>
        </w:rPr>
        <w:t xml:space="preserve"> for musculoskeletal problems.</w:t>
      </w:r>
    </w:p>
    <w:p w:rsidR="00AE3E37" w:rsidRDefault="00AE3E37">
      <w:pPr>
        <w:spacing w:before="41" w:line="154" w:lineRule="exact"/>
        <w:ind w:left="213" w:right="231"/>
        <w:jc w:val="both"/>
        <w:rPr>
          <w:rFonts w:ascii="Arial"/>
          <w:sz w:val="14"/>
        </w:rPr>
      </w:pP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 w:rsidR="009703A9">
        <w:rPr>
          <w:rFonts w:ascii="Arial"/>
          <w:sz w:val="14"/>
        </w:rPr>
        <w:t>amal@klsmc.com</w:t>
      </w:r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AF4AC7E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179D4" w:rsidRDefault="004179D4">
      <w:r>
        <w:separator/>
      </w:r>
    </w:p>
  </w:endnote>
  <w:endnote w:type="continuationSeparator" w:id="0">
    <w:p w:rsidR="004179D4" w:rsidRDefault="004179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179D4" w:rsidRDefault="004179D4">
      <w:r>
        <w:separator/>
      </w:r>
    </w:p>
  </w:footnote>
  <w:footnote w:type="continuationSeparator" w:id="0">
    <w:p w:rsidR="004179D4" w:rsidRDefault="004179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2" w15:restartNumberingAfterBreak="0">
    <w:nsid w:val="61C74913"/>
    <w:multiLevelType w:val="hybridMultilevel"/>
    <w:tmpl w:val="EED646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E3E37"/>
    <w:rsid w:val="00005FA6"/>
    <w:rsid w:val="0003739F"/>
    <w:rsid w:val="000772FE"/>
    <w:rsid w:val="00096FEC"/>
    <w:rsid w:val="000A1F05"/>
    <w:rsid w:val="000E2911"/>
    <w:rsid w:val="001263DF"/>
    <w:rsid w:val="002455EC"/>
    <w:rsid w:val="00292ED9"/>
    <w:rsid w:val="003D7136"/>
    <w:rsid w:val="00404E5B"/>
    <w:rsid w:val="00414F7B"/>
    <w:rsid w:val="004179D4"/>
    <w:rsid w:val="004355DC"/>
    <w:rsid w:val="004749B4"/>
    <w:rsid w:val="00494130"/>
    <w:rsid w:val="004C281D"/>
    <w:rsid w:val="004F3523"/>
    <w:rsid w:val="0053207A"/>
    <w:rsid w:val="005973B9"/>
    <w:rsid w:val="005B3A56"/>
    <w:rsid w:val="006060CE"/>
    <w:rsid w:val="0063497F"/>
    <w:rsid w:val="00687C19"/>
    <w:rsid w:val="00873DF0"/>
    <w:rsid w:val="008756E6"/>
    <w:rsid w:val="0088450A"/>
    <w:rsid w:val="008A08B6"/>
    <w:rsid w:val="009703A9"/>
    <w:rsid w:val="009B2D44"/>
    <w:rsid w:val="00A07E82"/>
    <w:rsid w:val="00A9710C"/>
    <w:rsid w:val="00AE3E37"/>
    <w:rsid w:val="00B21A57"/>
    <w:rsid w:val="00C33602"/>
    <w:rsid w:val="00CD6F55"/>
    <w:rsid w:val="00CF1FF5"/>
    <w:rsid w:val="00DE3104"/>
    <w:rsid w:val="00E26B10"/>
    <w:rsid w:val="00E3739D"/>
    <w:rsid w:val="00F72EEA"/>
    <w:rsid w:val="00F84CAE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E7EA14B"/>
  <w15:docId w15:val="{AA675F82-CFB8-4266-A2C8-06EFFEB90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2</Pages>
  <Words>578</Words>
  <Characters>3300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Amal</cp:lastModifiedBy>
  <cp:revision>9</cp:revision>
  <dcterms:created xsi:type="dcterms:W3CDTF">2018-10-15T03:39:00Z</dcterms:created>
  <dcterms:modified xsi:type="dcterms:W3CDTF">2018-10-15T09:55:00Z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