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41E8" w:rsidRPr="00EF7D93" w:rsidRDefault="006541E8" w:rsidP="006541E8">
      <w:pPr>
        <w:spacing w:after="0"/>
        <w:jc w:val="both"/>
        <w:rPr>
          <w:color w:val="auto"/>
          <w:szCs w:val="24"/>
        </w:rPr>
      </w:pPr>
      <w:r w:rsidRPr="00EF7D93">
        <w:rPr>
          <w:color w:val="auto"/>
          <w:szCs w:val="24"/>
        </w:rPr>
        <w:t xml:space="preserve">Effect of Land Use </w:t>
      </w:r>
      <w:r>
        <w:rPr>
          <w:color w:val="auto"/>
          <w:szCs w:val="24"/>
        </w:rPr>
        <w:t xml:space="preserve">types </w:t>
      </w:r>
      <w:r w:rsidRPr="00EF7D93">
        <w:rPr>
          <w:color w:val="auto"/>
          <w:szCs w:val="24"/>
        </w:rPr>
        <w:t>on Litter Decomposition Rate and Stabilization Factors (TBI) in mid altitude area of north western Ethiopia.</w:t>
      </w:r>
    </w:p>
    <w:p w:rsidR="006541E8" w:rsidRPr="00EF7D93" w:rsidRDefault="006541E8" w:rsidP="006541E8">
      <w:pPr>
        <w:tabs>
          <w:tab w:val="left" w:pos="1027"/>
          <w:tab w:val="left" w:pos="1350"/>
        </w:tabs>
        <w:spacing w:after="0" w:line="240" w:lineRule="auto"/>
        <w:jc w:val="both"/>
        <w:rPr>
          <w:color w:val="auto"/>
          <w:szCs w:val="24"/>
        </w:rPr>
      </w:pPr>
      <w:r>
        <w:rPr>
          <w:color w:val="auto"/>
          <w:szCs w:val="24"/>
        </w:rPr>
        <w:tab/>
      </w:r>
      <w:r>
        <w:rPr>
          <w:color w:val="auto"/>
          <w:szCs w:val="24"/>
        </w:rPr>
        <w:tab/>
      </w:r>
    </w:p>
    <w:p w:rsidR="006541E8" w:rsidRPr="00EF7D93" w:rsidRDefault="006541E8" w:rsidP="006541E8">
      <w:pPr>
        <w:spacing w:after="0" w:line="360" w:lineRule="auto"/>
        <w:ind w:left="720"/>
        <w:jc w:val="both"/>
        <w:rPr>
          <w:color w:val="auto"/>
          <w:szCs w:val="24"/>
        </w:rPr>
      </w:pPr>
      <w:r w:rsidRPr="00EF7D93">
        <w:rPr>
          <w:color w:val="auto"/>
          <w:szCs w:val="24"/>
        </w:rPr>
        <w:t xml:space="preserve">Gebretsadik Melak </w:t>
      </w:r>
      <w:r>
        <w:rPr>
          <w:color w:val="auto"/>
          <w:szCs w:val="24"/>
        </w:rPr>
        <w:t>1</w:t>
      </w:r>
      <w:r w:rsidRPr="00EF7D93">
        <w:rPr>
          <w:color w:val="auto"/>
          <w:szCs w:val="24"/>
          <w:vertAlign w:val="superscript"/>
        </w:rPr>
        <w:t xml:space="preserve">*, </w:t>
      </w:r>
      <w:r w:rsidRPr="00EF7D93">
        <w:rPr>
          <w:color w:val="auto"/>
          <w:szCs w:val="24"/>
        </w:rPr>
        <w:t>Abraham Abiyu (PhD)</w:t>
      </w:r>
      <w:r w:rsidRPr="00EF7D93">
        <w:rPr>
          <w:color w:val="auto"/>
          <w:szCs w:val="24"/>
          <w:vertAlign w:val="superscript"/>
        </w:rPr>
        <w:t xml:space="preserve"> 2</w:t>
      </w:r>
      <w:r w:rsidRPr="00EF7D93">
        <w:rPr>
          <w:color w:val="auto"/>
          <w:szCs w:val="24"/>
        </w:rPr>
        <w:t xml:space="preserve">, Hans </w:t>
      </w:r>
      <w:r w:rsidRPr="00EF7D93">
        <w:rPr>
          <w:szCs w:val="24"/>
          <w:shd w:val="clear" w:color="auto" w:fill="FFFFFF"/>
        </w:rPr>
        <w:t>Sandén</w:t>
      </w:r>
      <w:r w:rsidRPr="00EF7D93">
        <w:rPr>
          <w:szCs w:val="24"/>
          <w:shd w:val="clear" w:color="auto" w:fill="FFFFFF"/>
          <w:vertAlign w:val="superscript"/>
        </w:rPr>
        <w:t>3</w:t>
      </w:r>
      <w:r w:rsidRPr="00EF7D93">
        <w:rPr>
          <w:color w:val="auto"/>
          <w:szCs w:val="24"/>
        </w:rPr>
        <w:t xml:space="preserve"> and </w:t>
      </w:r>
      <w:proofErr w:type="spellStart"/>
      <w:r w:rsidRPr="00EF7D93">
        <w:rPr>
          <w:color w:val="auto"/>
          <w:szCs w:val="24"/>
        </w:rPr>
        <w:t>Taru</w:t>
      </w:r>
      <w:proofErr w:type="spellEnd"/>
      <w:r w:rsidRPr="00EF7D93">
        <w:rPr>
          <w:color w:val="auto"/>
          <w:szCs w:val="24"/>
        </w:rPr>
        <w:t xml:space="preserve"> Sandén</w:t>
      </w:r>
      <w:r>
        <w:rPr>
          <w:color w:val="auto"/>
          <w:szCs w:val="24"/>
          <w:vertAlign w:val="superscript"/>
        </w:rPr>
        <w:t>3</w:t>
      </w:r>
    </w:p>
    <w:p w:rsidR="006541E8" w:rsidRPr="00EF7D93" w:rsidRDefault="006541E8" w:rsidP="006541E8">
      <w:pPr>
        <w:numPr>
          <w:ilvl w:val="1"/>
          <w:numId w:val="1"/>
        </w:numPr>
        <w:tabs>
          <w:tab w:val="left" w:pos="426"/>
        </w:tabs>
        <w:spacing w:after="0" w:line="360" w:lineRule="auto"/>
        <w:jc w:val="both"/>
        <w:rPr>
          <w:szCs w:val="24"/>
        </w:rPr>
      </w:pPr>
      <w:r w:rsidRPr="00EF7D93">
        <w:rPr>
          <w:szCs w:val="24"/>
        </w:rPr>
        <w:t xml:space="preserve">Department of Natural Resource Management Collage of Agriculture and </w:t>
      </w:r>
      <w:r>
        <w:rPr>
          <w:szCs w:val="24"/>
        </w:rPr>
        <w:t>environmental Science</w:t>
      </w:r>
      <w:r w:rsidRPr="00EF7D93">
        <w:rPr>
          <w:szCs w:val="24"/>
        </w:rPr>
        <w:t>, University of Gondar (</w:t>
      </w:r>
      <w:proofErr w:type="spellStart"/>
      <w:r w:rsidRPr="00EF7D93">
        <w:rPr>
          <w:szCs w:val="24"/>
        </w:rPr>
        <w:t>Msc</w:t>
      </w:r>
      <w:proofErr w:type="spellEnd"/>
      <w:r w:rsidRPr="00EF7D93">
        <w:rPr>
          <w:szCs w:val="24"/>
        </w:rPr>
        <w:t>. in Soil Science).</w:t>
      </w:r>
    </w:p>
    <w:p w:rsidR="006541E8" w:rsidRPr="00EF7D93" w:rsidRDefault="006541E8" w:rsidP="006541E8">
      <w:pPr>
        <w:numPr>
          <w:ilvl w:val="1"/>
          <w:numId w:val="1"/>
        </w:numPr>
        <w:tabs>
          <w:tab w:val="left" w:pos="426"/>
        </w:tabs>
        <w:spacing w:after="0" w:line="360" w:lineRule="auto"/>
        <w:jc w:val="both"/>
        <w:rPr>
          <w:szCs w:val="24"/>
        </w:rPr>
      </w:pPr>
      <w:r>
        <w:rPr>
          <w:szCs w:val="24"/>
        </w:rPr>
        <w:t xml:space="preserve">World agroforestry center (ICRAF), Addis Ababa, Ethiopia </w:t>
      </w:r>
    </w:p>
    <w:p w:rsidR="006541E8" w:rsidRDefault="006541E8" w:rsidP="006541E8">
      <w:pPr>
        <w:numPr>
          <w:ilvl w:val="1"/>
          <w:numId w:val="1"/>
        </w:numPr>
        <w:tabs>
          <w:tab w:val="left" w:pos="426"/>
        </w:tabs>
        <w:spacing w:after="0" w:line="360" w:lineRule="auto"/>
        <w:jc w:val="both"/>
        <w:rPr>
          <w:szCs w:val="24"/>
        </w:rPr>
      </w:pPr>
      <w:r w:rsidRPr="00EF7D93">
        <w:rPr>
          <w:szCs w:val="24"/>
        </w:rPr>
        <w:t>University of Natural Resource and Life Science (BOKU), Vienna, Austria</w:t>
      </w:r>
      <w:r>
        <w:rPr>
          <w:szCs w:val="24"/>
        </w:rPr>
        <w:t>.</w:t>
      </w:r>
    </w:p>
    <w:p w:rsidR="006541E8" w:rsidRPr="00EF7D93" w:rsidRDefault="006541E8" w:rsidP="006541E8">
      <w:pPr>
        <w:tabs>
          <w:tab w:val="left" w:pos="426"/>
        </w:tabs>
        <w:spacing w:after="0" w:line="240" w:lineRule="auto"/>
        <w:ind w:left="90"/>
        <w:jc w:val="both"/>
        <w:rPr>
          <w:szCs w:val="24"/>
        </w:rPr>
      </w:pPr>
      <w:r w:rsidRPr="00EF7D93">
        <w:rPr>
          <w:szCs w:val="24"/>
        </w:rPr>
        <w:t>Correspo</w:t>
      </w:r>
      <w:r w:rsidR="00414671">
        <w:rPr>
          <w:szCs w:val="24"/>
        </w:rPr>
        <w:t xml:space="preserve">nding author; </w:t>
      </w:r>
      <w:bookmarkStart w:id="0" w:name="_GoBack"/>
      <w:bookmarkEnd w:id="0"/>
      <w:r>
        <w:rPr>
          <w:szCs w:val="24"/>
        </w:rPr>
        <w:t xml:space="preserve">Gebretsadik Melak </w:t>
      </w:r>
      <w:r w:rsidRPr="00EF7D93">
        <w:rPr>
          <w:szCs w:val="24"/>
        </w:rPr>
        <w:t>(</w:t>
      </w:r>
      <w:hyperlink r:id="rId5" w:history="1">
        <w:r w:rsidRPr="00EF7D93">
          <w:rPr>
            <w:rStyle w:val="Hyperlink"/>
            <w:szCs w:val="24"/>
          </w:rPr>
          <w:t>gebretsadkmelak@gmail.com</w:t>
        </w:r>
      </w:hyperlink>
      <w:r w:rsidRPr="00EF7D93">
        <w:rPr>
          <w:szCs w:val="24"/>
        </w:rPr>
        <w:t xml:space="preserve">, </w:t>
      </w:r>
      <w:proofErr w:type="spellStart"/>
      <w:r w:rsidRPr="00EF7D93">
        <w:rPr>
          <w:szCs w:val="24"/>
        </w:rPr>
        <w:t>P.o.box</w:t>
      </w:r>
      <w:proofErr w:type="spellEnd"/>
      <w:r w:rsidRPr="00EF7D93">
        <w:rPr>
          <w:szCs w:val="24"/>
        </w:rPr>
        <w:t xml:space="preserve"> 196, University of Gondar, Ethiopia)</w:t>
      </w:r>
    </w:p>
    <w:p w:rsidR="006541E8" w:rsidRPr="00EF7D93" w:rsidRDefault="006541E8" w:rsidP="006541E8">
      <w:pPr>
        <w:tabs>
          <w:tab w:val="left" w:pos="426"/>
        </w:tabs>
        <w:spacing w:after="0" w:line="360" w:lineRule="auto"/>
        <w:ind w:left="142"/>
        <w:jc w:val="both"/>
        <w:rPr>
          <w:szCs w:val="24"/>
        </w:rPr>
      </w:pPr>
    </w:p>
    <w:p w:rsidR="006541E8" w:rsidRPr="009936AE" w:rsidRDefault="006541E8" w:rsidP="006541E8">
      <w:pPr>
        <w:spacing w:after="0" w:line="360" w:lineRule="auto"/>
        <w:jc w:val="both"/>
        <w:rPr>
          <w:i/>
          <w:sz w:val="22"/>
          <w:szCs w:val="24"/>
        </w:rPr>
      </w:pPr>
      <w:r w:rsidRPr="009936AE">
        <w:rPr>
          <w:i/>
          <w:sz w:val="22"/>
          <w:szCs w:val="24"/>
        </w:rPr>
        <w:t>For accurate estimation of soil organic carbon (SOC), storage and SOC turnover, prediction of soil organic matter (SOM) decomposition rate and stabilization factors are useful to estimate how much carbon (C) is lost from the soil as CO</w:t>
      </w:r>
      <w:r w:rsidRPr="009936AE">
        <w:rPr>
          <w:i/>
          <w:sz w:val="22"/>
          <w:szCs w:val="24"/>
          <w:vertAlign w:val="subscript"/>
        </w:rPr>
        <w:t>2</w:t>
      </w:r>
      <w:r w:rsidRPr="009936AE">
        <w:rPr>
          <w:i/>
          <w:sz w:val="22"/>
          <w:szCs w:val="24"/>
        </w:rPr>
        <w:t>. The main objective of this study was to assess the effect of different land use types on decomposition rate and litter stabilization using tea bag index (TBI) in North Gondar, Ethiopia. Three sites (Ambober, Chiliga and Gorgora) were selected those have four different land use types next to each other: agroforestry, cropland, eucalyptus plantation and grazing land. While 48 samples from all sites were collected from the upper 10 cm soil depth and were incubated with plastic pots under the mesh house. For this 48 soil samples, soil pH, soil texture, SOC and Bulk density as well as total compostablity index (PI)analyzed</w:t>
      </w:r>
      <w:r>
        <w:rPr>
          <w:i/>
          <w:sz w:val="22"/>
          <w:szCs w:val="24"/>
        </w:rPr>
        <w:t xml:space="preserve">. A stepwise thermo </w:t>
      </w:r>
      <w:r w:rsidRPr="009936AE">
        <w:rPr>
          <w:i/>
          <w:sz w:val="22"/>
          <w:szCs w:val="24"/>
        </w:rPr>
        <w:t>gravimetric (STG) method was applied to analyze PI were analyzed. Under the incubated soils two pairs of teabags were buried for three months while five pairs of tea bags were buried on the upper 5-10 cm soil depth at the three sites in all land use types. Land use affected both the litter stabilization factor (S) and the decomposition rate (k). Generally land use types had a significant effect on PI, litter decomposition rate and stabilization factor those may influence SOC dynamics. Characterization of SOM quality across land use types and ecologies should gate future research attentions for accurate modeling of climate change.</w:t>
      </w:r>
    </w:p>
    <w:p w:rsidR="006541E8" w:rsidRPr="006541E8" w:rsidRDefault="006541E8" w:rsidP="006541E8">
      <w:pPr>
        <w:spacing w:after="0" w:line="360" w:lineRule="auto"/>
        <w:jc w:val="both"/>
        <w:rPr>
          <w:sz w:val="22"/>
          <w:szCs w:val="24"/>
        </w:rPr>
      </w:pPr>
      <w:r w:rsidRPr="006541E8">
        <w:rPr>
          <w:b/>
          <w:sz w:val="22"/>
          <w:szCs w:val="24"/>
        </w:rPr>
        <w:t xml:space="preserve">Key Words: </w:t>
      </w:r>
      <w:r w:rsidRPr="006541E8">
        <w:rPr>
          <w:sz w:val="22"/>
          <w:szCs w:val="24"/>
        </w:rPr>
        <w:t>Land Use Types, Litter Decomposition Rate, Litter Stabilization Factors, Tea Bag Index</w:t>
      </w:r>
    </w:p>
    <w:p w:rsidR="008442C7" w:rsidRDefault="006541E8">
      <w:r>
        <w:t>0978525349</w:t>
      </w:r>
    </w:p>
    <w:p w:rsidR="006541E8" w:rsidRDefault="006541E8"/>
    <w:sectPr w:rsidR="006541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81D4B7A"/>
    <w:multiLevelType w:val="hybridMultilevel"/>
    <w:tmpl w:val="983800EE"/>
    <w:lvl w:ilvl="0" w:tplc="1A02470A">
      <w:start w:val="1"/>
      <w:numFmt w:val="decimal"/>
      <w:lvlText w:val="%1."/>
      <w:lvlJc w:val="left"/>
      <w:pPr>
        <w:ind w:left="-1044" w:hanging="360"/>
      </w:pPr>
      <w:rPr>
        <w:rFonts w:ascii="Calibri" w:eastAsia="Calibri" w:hAnsi="Calibri" w:cs="Times New Roman"/>
      </w:rPr>
    </w:lvl>
    <w:lvl w:ilvl="1" w:tplc="1A02470A">
      <w:start w:val="1"/>
      <w:numFmt w:val="decimal"/>
      <w:lvlText w:val="%2."/>
      <w:lvlJc w:val="left"/>
      <w:pPr>
        <w:ind w:left="450" w:hanging="360"/>
      </w:pPr>
      <w:rPr>
        <w:rFonts w:ascii="Calibri" w:eastAsia="Calibri" w:hAnsi="Calibri" w:cs="Times New Roman"/>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41E8"/>
    <w:rsid w:val="00414671"/>
    <w:rsid w:val="006541E8"/>
    <w:rsid w:val="008442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EE93C0-AA2E-43C0-AB5F-41067503D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41E8"/>
    <w:pPr>
      <w:spacing w:after="200" w:line="276" w:lineRule="auto"/>
    </w:pPr>
    <w:rPr>
      <w:rFonts w:ascii="Times New Roman" w:eastAsia="Calibri"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6541E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gebretsadkmelak@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339</Words>
  <Characters>1935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Gebretsadik Melak</dc:creator>
  <cp:keywords/>
  <dc:description/>
  <cp:lastModifiedBy>Gebretsadik Melak</cp:lastModifiedBy>
  <cp:revision>2</cp:revision>
  <dcterms:created xsi:type="dcterms:W3CDTF">2019-10-08T17:51:00Z</dcterms:created>
  <dcterms:modified xsi:type="dcterms:W3CDTF">2019-10-08T17:51:00Z</dcterms:modified>
</cp:coreProperties>
</file>