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C89" w:rsidRPr="007C239E" w:rsidRDefault="00A53C89" w:rsidP="00F33363">
      <w:pPr>
        <w:pStyle w:val="Abstract"/>
        <w:spacing w:before="0" w:after="0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R. </w:t>
      </w:r>
      <w:proofErr w:type="spellStart"/>
      <w:r>
        <w:rPr>
          <w:sz w:val="24"/>
          <w:szCs w:val="24"/>
          <w:lang w:val="en-US"/>
        </w:rPr>
        <w:t>Ushakov</w:t>
      </w:r>
      <w:proofErr w:type="spellEnd"/>
      <w:r w:rsidR="007C239E">
        <w:rPr>
          <w:sz w:val="24"/>
          <w:szCs w:val="24"/>
        </w:rPr>
        <w:t xml:space="preserve">, </w:t>
      </w:r>
      <w:r w:rsidR="007C239E">
        <w:rPr>
          <w:sz w:val="24"/>
          <w:szCs w:val="24"/>
          <w:lang w:val="en-US"/>
        </w:rPr>
        <w:t>A. Ruchkina</w:t>
      </w:r>
      <w:bookmarkStart w:id="0" w:name="_GoBack"/>
      <w:bookmarkEnd w:id="0"/>
    </w:p>
    <w:p w:rsidR="00A53C89" w:rsidRPr="00A53C89" w:rsidRDefault="00A53C89" w:rsidP="00F33363">
      <w:pPr>
        <w:pStyle w:val="Abstract"/>
        <w:spacing w:before="0" w:after="0"/>
        <w:rPr>
          <w:sz w:val="24"/>
          <w:szCs w:val="24"/>
          <w:lang w:val="en-US"/>
        </w:rPr>
      </w:pPr>
    </w:p>
    <w:p w:rsidR="00A53C89" w:rsidRDefault="00A53C89" w:rsidP="00A53C89">
      <w:pPr>
        <w:pStyle w:val="Abstract"/>
        <w:spacing w:before="0" w:after="0"/>
        <w:jc w:val="center"/>
        <w:rPr>
          <w:color w:val="222222"/>
          <w:sz w:val="24"/>
          <w:szCs w:val="24"/>
          <w:shd w:val="clear" w:color="auto" w:fill="FFFFFF"/>
          <w:lang w:val="en-US"/>
        </w:rPr>
      </w:pPr>
      <w:r w:rsidRPr="00A53C89">
        <w:rPr>
          <w:color w:val="222222"/>
          <w:sz w:val="24"/>
          <w:szCs w:val="24"/>
          <w:shd w:val="clear" w:color="auto" w:fill="FFFFFF"/>
          <w:lang w:val="en-US"/>
        </w:rPr>
        <w:t>An ecological model of soil stability</w:t>
      </w:r>
      <w:r>
        <w:rPr>
          <w:color w:val="222222"/>
          <w:sz w:val="24"/>
          <w:szCs w:val="24"/>
          <w:shd w:val="clear" w:color="auto" w:fill="FFFFFF"/>
          <w:lang w:val="en-US"/>
        </w:rPr>
        <w:t>.</w:t>
      </w:r>
    </w:p>
    <w:p w:rsidR="00A53C89" w:rsidRPr="00A53C89" w:rsidRDefault="00A53C89" w:rsidP="00A53C89">
      <w:pPr>
        <w:pStyle w:val="Abstract"/>
        <w:spacing w:before="0" w:after="0"/>
        <w:jc w:val="center"/>
        <w:rPr>
          <w:sz w:val="24"/>
          <w:szCs w:val="24"/>
          <w:lang w:val="en-US"/>
        </w:rPr>
      </w:pPr>
    </w:p>
    <w:p w:rsidR="00F33363" w:rsidRDefault="00E54692" w:rsidP="00A53C89">
      <w:pPr>
        <w:pStyle w:val="Abstract"/>
        <w:spacing w:before="0" w:after="0"/>
        <w:rPr>
          <w:b/>
          <w:iCs/>
          <w:sz w:val="22"/>
          <w:szCs w:val="22"/>
          <w:lang w:val="en-US"/>
        </w:rPr>
      </w:pPr>
      <w:r w:rsidRPr="00F33363">
        <w:rPr>
          <w:sz w:val="24"/>
          <w:szCs w:val="24"/>
          <w:lang w:val="en-US"/>
        </w:rPr>
        <w:t xml:space="preserve">The doctrine about </w:t>
      </w:r>
      <w:r w:rsidR="003F1DDB" w:rsidRPr="00F33363">
        <w:rPr>
          <w:sz w:val="24"/>
          <w:szCs w:val="24"/>
          <w:lang w:val="en-US"/>
        </w:rPr>
        <w:t xml:space="preserve">agricultural </w:t>
      </w:r>
      <w:r w:rsidRPr="00F33363">
        <w:rPr>
          <w:sz w:val="24"/>
          <w:szCs w:val="24"/>
          <w:lang w:val="en-US"/>
        </w:rPr>
        <w:t xml:space="preserve">soil stability is included </w:t>
      </w:r>
      <w:r w:rsidR="003F1DDB" w:rsidRPr="00F33363">
        <w:rPr>
          <w:sz w:val="24"/>
          <w:szCs w:val="24"/>
          <w:lang w:val="en-US"/>
        </w:rPr>
        <w:t xml:space="preserve">harmonically </w:t>
      </w:r>
      <w:r w:rsidRPr="00F33363">
        <w:rPr>
          <w:sz w:val="24"/>
          <w:szCs w:val="24"/>
          <w:lang w:val="en-US"/>
        </w:rPr>
        <w:t xml:space="preserve">in general </w:t>
      </w:r>
      <w:r w:rsidR="003F1DDB" w:rsidRPr="00F33363">
        <w:rPr>
          <w:sz w:val="24"/>
          <w:szCs w:val="24"/>
          <w:lang w:val="en-US"/>
        </w:rPr>
        <w:t xml:space="preserve">concept of ecological safety of natural system. </w:t>
      </w:r>
      <w:r w:rsidRPr="00F33363">
        <w:rPr>
          <w:sz w:val="24"/>
          <w:szCs w:val="24"/>
          <w:lang w:val="en-US"/>
        </w:rPr>
        <w:t xml:space="preserve">To determine measure of soil stability, it is necessary to develop appropriate models of </w:t>
      </w:r>
      <w:r w:rsidR="00F33363" w:rsidRPr="00F33363">
        <w:rPr>
          <w:sz w:val="24"/>
          <w:szCs w:val="24"/>
          <w:lang w:val="en-US"/>
        </w:rPr>
        <w:t xml:space="preserve">soil </w:t>
      </w:r>
      <w:r w:rsidR="000375FE">
        <w:rPr>
          <w:sz w:val="24"/>
          <w:szCs w:val="24"/>
          <w:lang w:val="en-US"/>
        </w:rPr>
        <w:t>stability</w:t>
      </w:r>
      <w:r w:rsidRPr="00F33363">
        <w:rPr>
          <w:sz w:val="24"/>
          <w:szCs w:val="24"/>
          <w:lang w:val="en-US"/>
        </w:rPr>
        <w:t xml:space="preserve">. </w:t>
      </w:r>
      <w:r w:rsidR="00F33363" w:rsidRPr="00F33363">
        <w:rPr>
          <w:sz w:val="24"/>
          <w:szCs w:val="24"/>
          <w:lang w:val="en-US"/>
        </w:rPr>
        <w:t>P</w:t>
      </w:r>
      <w:r w:rsidR="003F1DDB" w:rsidRPr="00F33363">
        <w:rPr>
          <w:sz w:val="24"/>
          <w:szCs w:val="24"/>
          <w:lang w:val="en-US"/>
        </w:rPr>
        <w:t xml:space="preserve">otential </w:t>
      </w:r>
      <w:r w:rsidR="00F33363" w:rsidRPr="00F33363">
        <w:rPr>
          <w:sz w:val="24"/>
          <w:szCs w:val="24"/>
          <w:lang w:val="en-US"/>
        </w:rPr>
        <w:t>potassium (</w:t>
      </w:r>
      <w:proofErr w:type="spellStart"/>
      <w:r w:rsidR="003F1DDB" w:rsidRPr="00F33363">
        <w:rPr>
          <w:sz w:val="24"/>
          <w:szCs w:val="24"/>
          <w:lang w:val="en-US"/>
        </w:rPr>
        <w:t>PBC</w:t>
      </w:r>
      <w:r w:rsidR="003F1DDB" w:rsidRPr="00F33363">
        <w:rPr>
          <w:sz w:val="24"/>
          <w:szCs w:val="24"/>
          <w:vertAlign w:val="superscript"/>
          <w:lang w:val="en-US"/>
        </w:rPr>
        <w:t>к</w:t>
      </w:r>
      <w:proofErr w:type="spellEnd"/>
      <w:r w:rsidR="003F1DDB" w:rsidRPr="00F33363">
        <w:rPr>
          <w:sz w:val="24"/>
          <w:szCs w:val="24"/>
          <w:lang w:val="en-US"/>
        </w:rPr>
        <w:t xml:space="preserve">) capacity and phosphorus buffering capacity </w:t>
      </w:r>
      <w:r w:rsidR="00F33363" w:rsidRPr="00F33363">
        <w:rPr>
          <w:sz w:val="24"/>
          <w:szCs w:val="24"/>
          <w:lang w:val="en-US"/>
        </w:rPr>
        <w:t>(</w:t>
      </w:r>
      <w:proofErr w:type="spellStart"/>
      <w:r w:rsidR="00F33363" w:rsidRPr="00F33363">
        <w:rPr>
          <w:sz w:val="24"/>
          <w:szCs w:val="24"/>
          <w:lang w:val="en-US"/>
        </w:rPr>
        <w:t>РВС</w:t>
      </w:r>
      <w:r w:rsidR="00F33363" w:rsidRPr="00F33363">
        <w:rPr>
          <w:sz w:val="24"/>
          <w:szCs w:val="24"/>
          <w:vertAlign w:val="superscript"/>
          <w:lang w:val="en-US"/>
        </w:rPr>
        <w:t>р</w:t>
      </w:r>
      <w:proofErr w:type="spellEnd"/>
      <w:r w:rsidR="00F33363" w:rsidRPr="00F33363">
        <w:rPr>
          <w:sz w:val="24"/>
          <w:szCs w:val="24"/>
          <w:lang w:val="en-US"/>
        </w:rPr>
        <w:t xml:space="preserve">) </w:t>
      </w:r>
      <w:r w:rsidR="003F1DDB" w:rsidRPr="00F33363">
        <w:rPr>
          <w:sz w:val="24"/>
          <w:szCs w:val="24"/>
          <w:lang w:val="en-US"/>
        </w:rPr>
        <w:t>can serve as a parameter of potassium and phosphate nutrition stability.</w:t>
      </w:r>
      <w:r w:rsidR="00F33363" w:rsidRPr="00F33363">
        <w:rPr>
          <w:sz w:val="24"/>
          <w:szCs w:val="24"/>
          <w:lang w:val="en-US"/>
        </w:rPr>
        <w:t xml:space="preserve"> </w:t>
      </w:r>
      <w:r w:rsidR="003F1DDB" w:rsidRPr="00F33363">
        <w:rPr>
          <w:sz w:val="24"/>
          <w:szCs w:val="24"/>
          <w:lang w:val="en-US"/>
        </w:rPr>
        <w:t>The purpose of the study is to identify dependencies of buffering proper</w:t>
      </w:r>
      <w:r w:rsidR="000375FE">
        <w:rPr>
          <w:sz w:val="24"/>
          <w:szCs w:val="24"/>
          <w:lang w:val="en-US"/>
        </w:rPr>
        <w:t xml:space="preserve">ties of agro-grey soil on </w:t>
      </w:r>
      <w:r w:rsidR="003F1DDB" w:rsidRPr="00F33363">
        <w:rPr>
          <w:sz w:val="24"/>
          <w:szCs w:val="24"/>
          <w:lang w:val="en-US"/>
        </w:rPr>
        <w:t>acidity, humus, phosphorus and potassium availability</w:t>
      </w:r>
      <w:r w:rsidR="00F33363" w:rsidRPr="00F33363">
        <w:rPr>
          <w:sz w:val="24"/>
          <w:szCs w:val="24"/>
          <w:lang w:val="en-US"/>
        </w:rPr>
        <w:t>, soil acid</w:t>
      </w:r>
      <w:r w:rsidR="003F1DDB" w:rsidRPr="00F33363">
        <w:rPr>
          <w:sz w:val="24"/>
          <w:szCs w:val="24"/>
          <w:lang w:val="en-US"/>
        </w:rPr>
        <w:t xml:space="preserve"> to develop </w:t>
      </w:r>
      <w:proofErr w:type="gramStart"/>
      <w:r w:rsidR="000375FE">
        <w:rPr>
          <w:sz w:val="24"/>
          <w:szCs w:val="24"/>
          <w:lang w:val="en-US"/>
        </w:rPr>
        <w:t>ecological  model</w:t>
      </w:r>
      <w:proofErr w:type="gramEnd"/>
      <w:r w:rsidR="000375FE">
        <w:rPr>
          <w:sz w:val="24"/>
          <w:szCs w:val="24"/>
          <w:lang w:val="en-US"/>
        </w:rPr>
        <w:t xml:space="preserve"> of </w:t>
      </w:r>
      <w:r w:rsidR="003F1DDB" w:rsidRPr="00F33363">
        <w:rPr>
          <w:sz w:val="24"/>
          <w:szCs w:val="24"/>
          <w:lang w:val="en-US"/>
        </w:rPr>
        <w:t xml:space="preserve">soil stability. </w:t>
      </w:r>
      <w:proofErr w:type="spellStart"/>
      <w:r w:rsidR="00F33363" w:rsidRPr="00F33363">
        <w:rPr>
          <w:sz w:val="24"/>
          <w:szCs w:val="24"/>
          <w:lang w:val="en-US"/>
        </w:rPr>
        <w:t>PBC</w:t>
      </w:r>
      <w:r w:rsidR="00F33363" w:rsidRPr="00F33363">
        <w:rPr>
          <w:sz w:val="24"/>
          <w:szCs w:val="24"/>
          <w:vertAlign w:val="superscript"/>
          <w:lang w:val="en-US"/>
        </w:rPr>
        <w:t>к</w:t>
      </w:r>
      <w:proofErr w:type="spellEnd"/>
      <w:r w:rsidR="00F33363" w:rsidRPr="00F33363">
        <w:rPr>
          <w:sz w:val="24"/>
          <w:szCs w:val="24"/>
          <w:lang w:val="en-US"/>
        </w:rPr>
        <w:t xml:space="preserve"> and </w:t>
      </w:r>
      <w:proofErr w:type="spellStart"/>
      <w:r w:rsidR="00F33363" w:rsidRPr="00F33363">
        <w:rPr>
          <w:sz w:val="24"/>
          <w:szCs w:val="24"/>
          <w:lang w:val="en-US"/>
        </w:rPr>
        <w:t>РВС</w:t>
      </w:r>
      <w:r w:rsidR="00F33363" w:rsidRPr="00F33363">
        <w:rPr>
          <w:sz w:val="24"/>
          <w:szCs w:val="24"/>
          <w:vertAlign w:val="superscript"/>
          <w:lang w:val="en-US"/>
        </w:rPr>
        <w:t>р</w:t>
      </w:r>
      <w:proofErr w:type="spellEnd"/>
      <w:r w:rsidR="00F33363" w:rsidRPr="00F33363">
        <w:rPr>
          <w:sz w:val="24"/>
          <w:szCs w:val="24"/>
          <w:vertAlign w:val="superscript"/>
          <w:lang w:val="en-US"/>
        </w:rPr>
        <w:t xml:space="preserve"> </w:t>
      </w:r>
      <w:proofErr w:type="gramStart"/>
      <w:r w:rsidR="00F33363" w:rsidRPr="00F33363">
        <w:rPr>
          <w:sz w:val="24"/>
          <w:szCs w:val="24"/>
          <w:lang w:val="en-US"/>
        </w:rPr>
        <w:t>were</w:t>
      </w:r>
      <w:r w:rsidR="003F1DDB" w:rsidRPr="00F33363">
        <w:rPr>
          <w:sz w:val="24"/>
          <w:szCs w:val="24"/>
          <w:lang w:val="en-US"/>
        </w:rPr>
        <w:t xml:space="preserve"> d</w:t>
      </w:r>
      <w:r w:rsidR="00F46A36">
        <w:rPr>
          <w:sz w:val="24"/>
          <w:szCs w:val="24"/>
          <w:lang w:val="en-US"/>
        </w:rPr>
        <w:t>etermined</w:t>
      </w:r>
      <w:proofErr w:type="gramEnd"/>
      <w:r w:rsidR="00F46A36">
        <w:rPr>
          <w:sz w:val="24"/>
          <w:szCs w:val="24"/>
          <w:lang w:val="en-US"/>
        </w:rPr>
        <w:t xml:space="preserve"> by Beckett’s formula. </w:t>
      </w:r>
      <w:r w:rsidR="003F1DDB" w:rsidRPr="00F33363">
        <w:rPr>
          <w:sz w:val="24"/>
          <w:szCs w:val="24"/>
          <w:lang w:val="en-US"/>
        </w:rPr>
        <w:t>It was established that it is possible to achieve low stability level of soil with relative activity of potassium (</w:t>
      </w:r>
      <w:proofErr w:type="spellStart"/>
      <w:r w:rsidR="003F1DDB" w:rsidRPr="00F33363">
        <w:rPr>
          <w:sz w:val="24"/>
          <w:szCs w:val="24"/>
          <w:lang w:val="en-US"/>
        </w:rPr>
        <w:t>AR</w:t>
      </w:r>
      <w:r w:rsidR="003F1DDB" w:rsidRPr="00F33363">
        <w:rPr>
          <w:sz w:val="24"/>
          <w:szCs w:val="24"/>
          <w:vertAlign w:val="subscript"/>
          <w:lang w:val="en-US"/>
        </w:rPr>
        <w:t>o</w:t>
      </w:r>
      <w:proofErr w:type="spellEnd"/>
      <w:r w:rsidR="003F1DDB" w:rsidRPr="00F33363">
        <w:rPr>
          <w:sz w:val="24"/>
          <w:szCs w:val="24"/>
          <w:lang w:val="en-US"/>
        </w:rPr>
        <w:t>) of less than 2 M/l ∙ 10</w:t>
      </w:r>
      <w:r w:rsidR="003F1DDB" w:rsidRPr="00F33363">
        <w:rPr>
          <w:sz w:val="24"/>
          <w:szCs w:val="24"/>
          <w:vertAlign w:val="superscript"/>
          <w:lang w:val="en-US"/>
        </w:rPr>
        <w:t>-3</w:t>
      </w:r>
      <w:r w:rsidR="003F1DDB" w:rsidRPr="00F33363">
        <w:rPr>
          <w:sz w:val="24"/>
          <w:szCs w:val="24"/>
          <w:lang w:val="en-US"/>
        </w:rPr>
        <w:t xml:space="preserve">, </w:t>
      </w:r>
      <w:proofErr w:type="spellStart"/>
      <w:r w:rsidR="003F1DDB" w:rsidRPr="00F33363">
        <w:rPr>
          <w:sz w:val="24"/>
          <w:szCs w:val="24"/>
          <w:lang w:val="en-US"/>
        </w:rPr>
        <w:t>РВС</w:t>
      </w:r>
      <w:r w:rsidR="003F1DDB" w:rsidRPr="00F33363">
        <w:rPr>
          <w:sz w:val="24"/>
          <w:szCs w:val="24"/>
          <w:vertAlign w:val="superscript"/>
          <w:lang w:val="en-US"/>
        </w:rPr>
        <w:t>к</w:t>
      </w:r>
      <w:proofErr w:type="spellEnd"/>
      <w:r w:rsidR="003F1DDB" w:rsidRPr="00F33363">
        <w:rPr>
          <w:sz w:val="24"/>
          <w:szCs w:val="24"/>
          <w:vertAlign w:val="superscript"/>
          <w:lang w:val="en-US"/>
        </w:rPr>
        <w:t xml:space="preserve"> </w:t>
      </w:r>
      <w:r w:rsidR="003F1DDB" w:rsidRPr="00F33363">
        <w:rPr>
          <w:sz w:val="24"/>
          <w:szCs w:val="24"/>
          <w:lang w:val="en-US"/>
        </w:rPr>
        <w:t xml:space="preserve">of less than 24 units, average level is achieved when </w:t>
      </w:r>
      <w:proofErr w:type="spellStart"/>
      <w:r w:rsidR="003F1DDB" w:rsidRPr="00F33363">
        <w:rPr>
          <w:sz w:val="24"/>
          <w:szCs w:val="24"/>
          <w:lang w:val="en-US"/>
        </w:rPr>
        <w:t>AR</w:t>
      </w:r>
      <w:r w:rsidR="003F1DDB" w:rsidRPr="00F33363">
        <w:rPr>
          <w:sz w:val="24"/>
          <w:szCs w:val="24"/>
          <w:vertAlign w:val="subscript"/>
          <w:lang w:val="en-US"/>
        </w:rPr>
        <w:t>o</w:t>
      </w:r>
      <w:proofErr w:type="spellEnd"/>
      <w:r w:rsidR="003F1DDB" w:rsidRPr="00F33363">
        <w:rPr>
          <w:sz w:val="24"/>
          <w:szCs w:val="24"/>
          <w:lang w:val="en-US"/>
        </w:rPr>
        <w:t xml:space="preserve"> is 4 M/l ∙ 10</w:t>
      </w:r>
      <w:r w:rsidR="003F1DDB" w:rsidRPr="00F33363">
        <w:rPr>
          <w:sz w:val="24"/>
          <w:szCs w:val="24"/>
          <w:vertAlign w:val="superscript"/>
          <w:lang w:val="en-US"/>
        </w:rPr>
        <w:t>-3</w:t>
      </w:r>
      <w:r w:rsidR="003F1DDB" w:rsidRPr="00F33363">
        <w:rPr>
          <w:sz w:val="24"/>
          <w:szCs w:val="24"/>
          <w:lang w:val="en-US"/>
        </w:rPr>
        <w:t>,</w:t>
      </w:r>
      <w:r w:rsidR="003F1DDB" w:rsidRPr="00F33363">
        <w:rPr>
          <w:sz w:val="24"/>
          <w:szCs w:val="24"/>
          <w:vertAlign w:val="superscript"/>
          <w:lang w:val="en-US"/>
        </w:rPr>
        <w:t>.</w:t>
      </w:r>
      <w:r w:rsidR="003F1DDB" w:rsidRPr="00F33363">
        <w:rPr>
          <w:sz w:val="24"/>
          <w:szCs w:val="24"/>
          <w:lang w:val="en-US"/>
        </w:rPr>
        <w:t xml:space="preserve"> </w:t>
      </w:r>
      <w:proofErr w:type="spellStart"/>
      <w:r w:rsidR="003F1DDB" w:rsidRPr="00F33363">
        <w:rPr>
          <w:sz w:val="24"/>
          <w:szCs w:val="24"/>
          <w:lang w:val="en-US"/>
        </w:rPr>
        <w:t>РВС</w:t>
      </w:r>
      <w:r w:rsidR="003F1DDB" w:rsidRPr="00F33363">
        <w:rPr>
          <w:sz w:val="24"/>
          <w:szCs w:val="24"/>
          <w:vertAlign w:val="superscript"/>
          <w:lang w:val="en-US"/>
        </w:rPr>
        <w:t>к</w:t>
      </w:r>
      <w:proofErr w:type="spellEnd"/>
      <w:r w:rsidR="003F1DDB" w:rsidRPr="00F33363">
        <w:rPr>
          <w:sz w:val="24"/>
          <w:szCs w:val="24"/>
          <w:lang w:val="en-US"/>
        </w:rPr>
        <w:t xml:space="preserve"> is not less than 45 units, and high level with </w:t>
      </w:r>
      <w:proofErr w:type="spellStart"/>
      <w:r w:rsidR="003F1DDB" w:rsidRPr="00F33363">
        <w:rPr>
          <w:sz w:val="24"/>
          <w:szCs w:val="24"/>
          <w:lang w:val="en-US"/>
        </w:rPr>
        <w:t>AR</w:t>
      </w:r>
      <w:r w:rsidR="003F1DDB" w:rsidRPr="00F33363">
        <w:rPr>
          <w:sz w:val="24"/>
          <w:szCs w:val="24"/>
          <w:vertAlign w:val="subscript"/>
          <w:lang w:val="en-US"/>
        </w:rPr>
        <w:t>o</w:t>
      </w:r>
      <w:proofErr w:type="spellEnd"/>
      <w:r w:rsidR="003F1DDB" w:rsidRPr="00F33363">
        <w:rPr>
          <w:sz w:val="24"/>
          <w:szCs w:val="24"/>
          <w:lang w:val="en-US"/>
        </w:rPr>
        <w:t xml:space="preserve"> of more than 4 M/l ∙10</w:t>
      </w:r>
      <w:r w:rsidR="003F1DDB" w:rsidRPr="00F33363">
        <w:rPr>
          <w:sz w:val="24"/>
          <w:szCs w:val="24"/>
          <w:vertAlign w:val="superscript"/>
          <w:lang w:val="en-US"/>
        </w:rPr>
        <w:t xml:space="preserve">-3 </w:t>
      </w:r>
      <w:r w:rsidR="003F1DDB" w:rsidRPr="00F33363">
        <w:rPr>
          <w:sz w:val="24"/>
          <w:szCs w:val="24"/>
          <w:lang w:val="en-US"/>
        </w:rPr>
        <w:t xml:space="preserve">and </w:t>
      </w:r>
      <w:proofErr w:type="spellStart"/>
      <w:r w:rsidR="003F1DDB" w:rsidRPr="00F33363">
        <w:rPr>
          <w:sz w:val="24"/>
          <w:szCs w:val="24"/>
          <w:lang w:val="en-US"/>
        </w:rPr>
        <w:t>РВС</w:t>
      </w:r>
      <w:r w:rsidR="003F1DDB" w:rsidRPr="00F33363">
        <w:rPr>
          <w:sz w:val="24"/>
          <w:szCs w:val="24"/>
          <w:vertAlign w:val="superscript"/>
          <w:lang w:val="en-US"/>
        </w:rPr>
        <w:t>к</w:t>
      </w:r>
      <w:proofErr w:type="spellEnd"/>
      <w:r w:rsidR="003F1DDB" w:rsidRPr="00F33363">
        <w:rPr>
          <w:sz w:val="24"/>
          <w:szCs w:val="24"/>
          <w:lang w:val="en-US"/>
        </w:rPr>
        <w:t xml:space="preserve"> of more than 45 units. With equilibrium concentration of phosphorus (</w:t>
      </w:r>
      <w:proofErr w:type="spellStart"/>
      <w:r w:rsidR="003F1DDB" w:rsidRPr="00F33363">
        <w:rPr>
          <w:sz w:val="24"/>
          <w:szCs w:val="24"/>
          <w:lang w:val="en-US"/>
        </w:rPr>
        <w:t>С</w:t>
      </w:r>
      <w:r w:rsidR="003F1DDB" w:rsidRPr="00F33363">
        <w:rPr>
          <w:sz w:val="24"/>
          <w:szCs w:val="24"/>
          <w:vertAlign w:val="subscript"/>
          <w:lang w:val="en-US"/>
        </w:rPr>
        <w:t>equil</w:t>
      </w:r>
      <w:proofErr w:type="spellEnd"/>
      <w:r w:rsidR="003F1DDB" w:rsidRPr="00F33363">
        <w:rPr>
          <w:sz w:val="24"/>
          <w:szCs w:val="24"/>
          <w:vertAlign w:val="subscript"/>
          <w:lang w:val="en-US"/>
        </w:rPr>
        <w:t>.</w:t>
      </w:r>
      <w:r w:rsidR="003F1DDB" w:rsidRPr="00F33363">
        <w:rPr>
          <w:sz w:val="24"/>
          <w:szCs w:val="24"/>
          <w:lang w:val="en-US"/>
        </w:rPr>
        <w:t>, in extract of 0.01 M CaCl</w:t>
      </w:r>
      <w:r w:rsidR="003F1DDB" w:rsidRPr="00F33363">
        <w:rPr>
          <w:sz w:val="24"/>
          <w:szCs w:val="24"/>
          <w:vertAlign w:val="subscript"/>
          <w:lang w:val="en-US"/>
        </w:rPr>
        <w:t>2</w:t>
      </w:r>
      <w:r w:rsidR="003F1DDB" w:rsidRPr="00F33363">
        <w:rPr>
          <w:sz w:val="24"/>
          <w:szCs w:val="24"/>
          <w:lang w:val="en-US"/>
        </w:rPr>
        <w:t>), desorption capacity (Q</w:t>
      </w:r>
      <w:r w:rsidR="003F1DDB" w:rsidRPr="00F33363">
        <w:rPr>
          <w:sz w:val="24"/>
          <w:szCs w:val="24"/>
          <w:vertAlign w:val="subscript"/>
          <w:lang w:val="en-US"/>
        </w:rPr>
        <w:t>0</w:t>
      </w:r>
      <w:r w:rsidR="003F1DDB" w:rsidRPr="00F33363">
        <w:rPr>
          <w:sz w:val="24"/>
          <w:szCs w:val="24"/>
          <w:lang w:val="en-US"/>
        </w:rPr>
        <w:t xml:space="preserve">) and </w:t>
      </w:r>
      <w:proofErr w:type="spellStart"/>
      <w:r w:rsidR="000375FE">
        <w:rPr>
          <w:sz w:val="24"/>
          <w:szCs w:val="24"/>
          <w:lang w:val="en-US"/>
        </w:rPr>
        <w:t>PBC</w:t>
      </w:r>
      <w:r w:rsidR="000375FE" w:rsidRPr="000375FE">
        <w:rPr>
          <w:sz w:val="24"/>
          <w:szCs w:val="24"/>
          <w:vertAlign w:val="superscript"/>
          <w:lang w:val="en-US"/>
        </w:rPr>
        <w:t>p</w:t>
      </w:r>
      <w:proofErr w:type="spellEnd"/>
      <w:r w:rsidR="003F1DDB" w:rsidRPr="00F33363">
        <w:rPr>
          <w:sz w:val="24"/>
          <w:szCs w:val="24"/>
          <w:lang w:val="en-US"/>
        </w:rPr>
        <w:t xml:space="preserve"> of less than 0.1 mg/l, 0.7 mg Р/100 g and 34 mg/l, respectively, a degree of soil stability is regarded as low. An average level of stability is provided at </w:t>
      </w:r>
      <w:proofErr w:type="spellStart"/>
      <w:r w:rsidR="003F1DDB" w:rsidRPr="00F33363">
        <w:rPr>
          <w:sz w:val="24"/>
          <w:szCs w:val="24"/>
          <w:lang w:val="en-US"/>
        </w:rPr>
        <w:t>Р</w:t>
      </w:r>
      <w:r w:rsidR="003F1DDB" w:rsidRPr="00F33363">
        <w:rPr>
          <w:sz w:val="24"/>
          <w:szCs w:val="24"/>
          <w:vertAlign w:val="subscript"/>
          <w:lang w:val="en-US"/>
        </w:rPr>
        <w:t>equil</w:t>
      </w:r>
      <w:proofErr w:type="spellEnd"/>
      <w:r w:rsidR="003F1DDB" w:rsidRPr="00F33363">
        <w:rPr>
          <w:sz w:val="24"/>
          <w:szCs w:val="24"/>
          <w:vertAlign w:val="subscript"/>
          <w:lang w:val="en-US"/>
        </w:rPr>
        <w:t>.</w:t>
      </w:r>
      <w:r w:rsidR="003F1DDB" w:rsidRPr="00F33363">
        <w:rPr>
          <w:sz w:val="24"/>
          <w:szCs w:val="24"/>
          <w:lang w:val="en-US"/>
        </w:rPr>
        <w:t xml:space="preserve"> of 0.1 to 0.2 mg/l, Q</w:t>
      </w:r>
      <w:r w:rsidR="003F1DDB" w:rsidRPr="00F33363">
        <w:rPr>
          <w:sz w:val="24"/>
          <w:szCs w:val="24"/>
          <w:vertAlign w:val="subscript"/>
          <w:lang w:val="en-US"/>
        </w:rPr>
        <w:t>0</w:t>
      </w:r>
      <w:r w:rsidR="003F1DDB" w:rsidRPr="00F33363">
        <w:rPr>
          <w:sz w:val="24"/>
          <w:szCs w:val="24"/>
          <w:lang w:val="en-US"/>
        </w:rPr>
        <w:t xml:space="preserve"> of 0.7 - 1.4 mg Р/100 g and </w:t>
      </w:r>
      <w:proofErr w:type="spellStart"/>
      <w:r w:rsidR="003F1DDB" w:rsidRPr="00F33363">
        <w:rPr>
          <w:sz w:val="24"/>
          <w:szCs w:val="24"/>
          <w:lang w:val="en-US"/>
        </w:rPr>
        <w:t>РВС</w:t>
      </w:r>
      <w:r w:rsidR="003F1DDB" w:rsidRPr="00F33363">
        <w:rPr>
          <w:sz w:val="24"/>
          <w:szCs w:val="24"/>
          <w:vertAlign w:val="superscript"/>
          <w:lang w:val="en-US"/>
        </w:rPr>
        <w:t>р</w:t>
      </w:r>
      <w:proofErr w:type="spellEnd"/>
      <w:r w:rsidR="003F1DDB" w:rsidRPr="00F33363">
        <w:rPr>
          <w:sz w:val="24"/>
          <w:szCs w:val="24"/>
          <w:lang w:val="en-US"/>
        </w:rPr>
        <w:t xml:space="preserve"> of 34 - 45 ml/g; high level of stability – with </w:t>
      </w:r>
      <w:proofErr w:type="spellStart"/>
      <w:r w:rsidR="003F1DDB" w:rsidRPr="00F33363">
        <w:rPr>
          <w:sz w:val="24"/>
          <w:szCs w:val="24"/>
          <w:lang w:val="en-US"/>
        </w:rPr>
        <w:t>Р</w:t>
      </w:r>
      <w:r w:rsidR="003F1DDB" w:rsidRPr="00F33363">
        <w:rPr>
          <w:sz w:val="24"/>
          <w:szCs w:val="24"/>
          <w:vertAlign w:val="subscript"/>
          <w:lang w:val="en-US"/>
        </w:rPr>
        <w:t>equil</w:t>
      </w:r>
      <w:proofErr w:type="spellEnd"/>
      <w:r w:rsidR="003F1DDB" w:rsidRPr="00F33363">
        <w:rPr>
          <w:sz w:val="24"/>
          <w:szCs w:val="24"/>
          <w:lang w:val="en-US"/>
        </w:rPr>
        <w:t xml:space="preserve"> of more than 0.2 mg/l, Q</w:t>
      </w:r>
      <w:r w:rsidR="003F1DDB" w:rsidRPr="00F33363">
        <w:rPr>
          <w:sz w:val="24"/>
          <w:szCs w:val="24"/>
          <w:vertAlign w:val="subscript"/>
          <w:lang w:val="en-US"/>
        </w:rPr>
        <w:t>0</w:t>
      </w:r>
      <w:r w:rsidR="003F1DDB" w:rsidRPr="00F33363">
        <w:rPr>
          <w:sz w:val="24"/>
          <w:szCs w:val="24"/>
          <w:lang w:val="en-US"/>
        </w:rPr>
        <w:t xml:space="preserve"> of more than 1.4 mg Р/100 g and </w:t>
      </w:r>
      <w:proofErr w:type="spellStart"/>
      <w:r w:rsidR="003F1DDB" w:rsidRPr="00F33363">
        <w:rPr>
          <w:sz w:val="24"/>
          <w:szCs w:val="24"/>
          <w:lang w:val="en-US"/>
        </w:rPr>
        <w:t>РВС</w:t>
      </w:r>
      <w:r w:rsidR="003F1DDB" w:rsidRPr="00F33363">
        <w:rPr>
          <w:sz w:val="24"/>
          <w:szCs w:val="24"/>
          <w:vertAlign w:val="superscript"/>
          <w:lang w:val="en-US"/>
        </w:rPr>
        <w:t>р</w:t>
      </w:r>
      <w:proofErr w:type="spellEnd"/>
      <w:r w:rsidR="003F1DDB" w:rsidRPr="00F33363">
        <w:rPr>
          <w:sz w:val="24"/>
          <w:szCs w:val="24"/>
          <w:lang w:val="en-US"/>
        </w:rPr>
        <w:t xml:space="preserve"> of more than 45 mg/l.</w:t>
      </w:r>
      <w:r w:rsidR="000375FE" w:rsidRPr="000375FE">
        <w:rPr>
          <w:sz w:val="24"/>
          <w:szCs w:val="24"/>
          <w:lang w:val="en-US"/>
        </w:rPr>
        <w:t xml:space="preserve"> </w:t>
      </w:r>
      <w:r w:rsidR="00F33363" w:rsidRPr="00162A0A">
        <w:rPr>
          <w:sz w:val="22"/>
          <w:szCs w:val="22"/>
          <w:lang w:val="en-US"/>
        </w:rPr>
        <w:t>One of evolutionarily conditioned ecological functions of soil is its ability to</w:t>
      </w:r>
      <w:r w:rsidR="000375FE">
        <w:rPr>
          <w:sz w:val="22"/>
          <w:szCs w:val="22"/>
          <w:lang w:val="en-US"/>
        </w:rPr>
        <w:t xml:space="preserve"> exhibit resistance </w:t>
      </w:r>
      <w:r w:rsidR="000375FE" w:rsidRPr="00162A0A">
        <w:rPr>
          <w:sz w:val="22"/>
          <w:szCs w:val="22"/>
          <w:lang w:val="en-US"/>
        </w:rPr>
        <w:t>to</w:t>
      </w:r>
      <w:r w:rsidR="00F33363" w:rsidRPr="00162A0A">
        <w:rPr>
          <w:sz w:val="22"/>
          <w:szCs w:val="22"/>
          <w:lang w:val="en-US"/>
        </w:rPr>
        <w:t xml:space="preserve"> acidification, depletion of nutrients, etc. To describe this ability, an attempt </w:t>
      </w:r>
      <w:proofErr w:type="gramStart"/>
      <w:r w:rsidR="00F33363" w:rsidRPr="00162A0A">
        <w:rPr>
          <w:sz w:val="22"/>
          <w:szCs w:val="22"/>
          <w:lang w:val="en-US"/>
        </w:rPr>
        <w:t>was made</w:t>
      </w:r>
      <w:proofErr w:type="gramEnd"/>
      <w:r w:rsidR="00F33363" w:rsidRPr="00162A0A">
        <w:rPr>
          <w:sz w:val="22"/>
          <w:szCs w:val="22"/>
          <w:lang w:val="en-US"/>
        </w:rPr>
        <w:t xml:space="preserve"> to develop an </w:t>
      </w:r>
      <w:r w:rsidR="000375FE">
        <w:rPr>
          <w:sz w:val="22"/>
          <w:szCs w:val="22"/>
          <w:lang w:val="en-US"/>
        </w:rPr>
        <w:t xml:space="preserve">ecological </w:t>
      </w:r>
      <w:r w:rsidR="00F33363" w:rsidRPr="00162A0A">
        <w:rPr>
          <w:sz w:val="22"/>
          <w:szCs w:val="22"/>
          <w:lang w:val="en-US"/>
        </w:rPr>
        <w:t>model of soil</w:t>
      </w:r>
      <w:r w:rsidR="00F33363" w:rsidRPr="00A6550F">
        <w:rPr>
          <w:sz w:val="22"/>
          <w:szCs w:val="22"/>
          <w:lang w:val="en-US"/>
        </w:rPr>
        <w:t xml:space="preserve"> </w:t>
      </w:r>
      <w:r w:rsidR="00F33363" w:rsidRPr="00162A0A">
        <w:rPr>
          <w:sz w:val="22"/>
          <w:szCs w:val="22"/>
          <w:lang w:val="en-US"/>
        </w:rPr>
        <w:t>stability</w:t>
      </w:r>
    </w:p>
    <w:p w:rsidR="00A53C89" w:rsidRDefault="00A53C89" w:rsidP="00A53C89">
      <w:pPr>
        <w:pStyle w:val="Abstract"/>
        <w:spacing w:before="0" w:after="0"/>
        <w:rPr>
          <w:b/>
          <w:iCs/>
          <w:sz w:val="22"/>
          <w:szCs w:val="22"/>
          <w:lang w:val="en-US"/>
        </w:rPr>
      </w:pPr>
    </w:p>
    <w:p w:rsidR="003F1DDB" w:rsidRPr="00162A0A" w:rsidRDefault="003F1DDB" w:rsidP="00A53C89">
      <w:pPr>
        <w:pStyle w:val="Abstract"/>
        <w:spacing w:before="0" w:after="0"/>
        <w:rPr>
          <w:sz w:val="22"/>
          <w:szCs w:val="22"/>
          <w:lang w:val="en-US"/>
        </w:rPr>
      </w:pPr>
      <w:r w:rsidRPr="00162A0A">
        <w:rPr>
          <w:b/>
          <w:iCs/>
          <w:sz w:val="22"/>
          <w:szCs w:val="22"/>
          <w:lang w:val="en-US"/>
        </w:rPr>
        <w:t>Keywords</w:t>
      </w:r>
      <w:r w:rsidRPr="00162A0A">
        <w:rPr>
          <w:iCs/>
          <w:sz w:val="22"/>
          <w:szCs w:val="22"/>
          <w:lang w:val="en-US"/>
        </w:rPr>
        <w:t xml:space="preserve">: </w:t>
      </w:r>
      <w:r w:rsidR="000375FE">
        <w:rPr>
          <w:sz w:val="22"/>
          <w:szCs w:val="22"/>
          <w:lang w:val="en-US"/>
        </w:rPr>
        <w:t xml:space="preserve">agro-grey soil, </w:t>
      </w:r>
      <w:r w:rsidRPr="00162A0A">
        <w:rPr>
          <w:sz w:val="22"/>
          <w:szCs w:val="22"/>
          <w:lang w:val="en-US"/>
        </w:rPr>
        <w:t xml:space="preserve">potassium activity, potassium buffering, phosphate buffering, acidification, </w:t>
      </w:r>
      <w:r w:rsidR="000375FE">
        <w:rPr>
          <w:sz w:val="22"/>
          <w:szCs w:val="22"/>
          <w:lang w:val="en-US"/>
        </w:rPr>
        <w:t xml:space="preserve">ecological </w:t>
      </w:r>
      <w:r w:rsidRPr="00162A0A">
        <w:rPr>
          <w:sz w:val="22"/>
          <w:szCs w:val="22"/>
          <w:lang w:val="en-US"/>
        </w:rPr>
        <w:t>model.</w:t>
      </w:r>
    </w:p>
    <w:p w:rsidR="003F1DDB" w:rsidRPr="00E54692" w:rsidRDefault="003F1DDB" w:rsidP="00A53C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F1DDB" w:rsidRPr="00E54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92"/>
    <w:rsid w:val="000375FE"/>
    <w:rsid w:val="00173EC7"/>
    <w:rsid w:val="001C54F5"/>
    <w:rsid w:val="003F1DDB"/>
    <w:rsid w:val="0044674F"/>
    <w:rsid w:val="007C239E"/>
    <w:rsid w:val="00A53C89"/>
    <w:rsid w:val="00E54692"/>
    <w:rsid w:val="00F33363"/>
    <w:rsid w:val="00F4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F9758E-A1D2-403E-9233-E79F0489B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L">
    <w:name w:val="BodyL."/>
    <w:basedOn w:val="a"/>
    <w:rsid w:val="00E546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bstract">
    <w:name w:val="Abstract"/>
    <w:basedOn w:val="a"/>
    <w:rsid w:val="003F1DDB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2019-09-24T19:10:00Z</dcterms:created>
  <dcterms:modified xsi:type="dcterms:W3CDTF">2019-09-24T19:10:00Z</dcterms:modified>
</cp:coreProperties>
</file>