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11A" w:rsidRPr="00F67F07" w:rsidRDefault="00DC711A" w:rsidP="00DC711A">
      <w:pPr>
        <w:spacing w:line="480" w:lineRule="auto"/>
        <w:jc w:val="center"/>
        <w:rPr>
          <w:rFonts w:ascii="Times New Roman" w:hAnsi="Times New Roman" w:cs="Times New Roman"/>
          <w:b/>
          <w:sz w:val="24"/>
          <w:szCs w:val="24"/>
        </w:rPr>
      </w:pPr>
      <w:r w:rsidRPr="00F67F07">
        <w:rPr>
          <w:rFonts w:ascii="Times New Roman" w:hAnsi="Times New Roman" w:cs="Times New Roman"/>
          <w:b/>
          <w:sz w:val="24"/>
          <w:szCs w:val="24"/>
        </w:rPr>
        <w:t xml:space="preserve">Synergistic effects of organic manures and phosphate </w:t>
      </w:r>
      <w:proofErr w:type="spellStart"/>
      <w:r w:rsidRPr="00F67F07">
        <w:rPr>
          <w:rFonts w:ascii="Times New Roman" w:hAnsi="Times New Roman" w:cs="Times New Roman"/>
          <w:b/>
          <w:sz w:val="24"/>
          <w:szCs w:val="24"/>
        </w:rPr>
        <w:t>solubilizing</w:t>
      </w:r>
      <w:proofErr w:type="spellEnd"/>
      <w:r w:rsidRPr="00F67F07">
        <w:rPr>
          <w:rFonts w:ascii="Times New Roman" w:hAnsi="Times New Roman" w:cs="Times New Roman"/>
          <w:b/>
          <w:sz w:val="24"/>
          <w:szCs w:val="24"/>
        </w:rPr>
        <w:t xml:space="preserve"> bacteria on maize growth and phosphorus availability in calcareous soils</w:t>
      </w:r>
    </w:p>
    <w:p w:rsidR="00DC711A" w:rsidRPr="00F67F07" w:rsidRDefault="00DC711A" w:rsidP="00DC711A">
      <w:pPr>
        <w:spacing w:line="480" w:lineRule="auto"/>
        <w:jc w:val="both"/>
        <w:rPr>
          <w:rFonts w:ascii="Times New Roman" w:hAnsi="Times New Roman" w:cs="Times New Roman"/>
          <w:b/>
          <w:sz w:val="24"/>
          <w:szCs w:val="24"/>
        </w:rPr>
      </w:pPr>
      <w:r w:rsidRPr="00F67F07">
        <w:rPr>
          <w:rFonts w:ascii="Times New Roman" w:hAnsi="Times New Roman" w:cs="Times New Roman"/>
          <w:b/>
          <w:sz w:val="24"/>
          <w:szCs w:val="24"/>
        </w:rPr>
        <w:t>Muhammad Adnan*</w:t>
      </w:r>
      <w:r w:rsidRPr="00F67F07">
        <w:rPr>
          <w:rFonts w:ascii="Times New Roman" w:hAnsi="Times New Roman" w:cs="Times New Roman"/>
          <w:b/>
          <w:sz w:val="24"/>
          <w:szCs w:val="24"/>
          <w:vertAlign w:val="superscript"/>
        </w:rPr>
        <w:t>1,2,3</w:t>
      </w:r>
      <w:r w:rsidRPr="00F67F07">
        <w:rPr>
          <w:rFonts w:ascii="Times New Roman" w:hAnsi="Times New Roman" w:cs="Times New Roman"/>
          <w:b/>
          <w:sz w:val="24"/>
          <w:szCs w:val="24"/>
        </w:rPr>
        <w:t xml:space="preserve">,  </w:t>
      </w:r>
      <w:proofErr w:type="spellStart"/>
      <w:r w:rsidRPr="00F67F07">
        <w:rPr>
          <w:rFonts w:ascii="Times New Roman" w:hAnsi="Times New Roman" w:cs="Times New Roman"/>
          <w:b/>
          <w:sz w:val="24"/>
          <w:szCs w:val="24"/>
        </w:rPr>
        <w:t>Zahir</w:t>
      </w:r>
      <w:proofErr w:type="spellEnd"/>
      <w:r w:rsidRPr="00F67F07">
        <w:rPr>
          <w:rFonts w:ascii="Times New Roman" w:hAnsi="Times New Roman" w:cs="Times New Roman"/>
          <w:b/>
          <w:sz w:val="24"/>
          <w:szCs w:val="24"/>
        </w:rPr>
        <w:t xml:space="preserve"> Shah</w:t>
      </w:r>
      <w:r w:rsidRPr="00F67F07">
        <w:rPr>
          <w:rFonts w:ascii="Times New Roman" w:hAnsi="Times New Roman" w:cs="Times New Roman"/>
          <w:b/>
          <w:sz w:val="24"/>
          <w:szCs w:val="24"/>
          <w:vertAlign w:val="superscript"/>
        </w:rPr>
        <w:t>2</w:t>
      </w:r>
      <w:r w:rsidRPr="00F67F07">
        <w:rPr>
          <w:rFonts w:ascii="Times New Roman" w:hAnsi="Times New Roman" w:cs="Times New Roman"/>
          <w:b/>
          <w:sz w:val="24"/>
          <w:szCs w:val="24"/>
        </w:rPr>
        <w:t>, Shah Fahad</w:t>
      </w:r>
      <w:r w:rsidRPr="00F67F07">
        <w:rPr>
          <w:rFonts w:ascii="Times New Roman" w:hAnsi="Times New Roman" w:cs="Times New Roman"/>
          <w:b/>
          <w:sz w:val="24"/>
          <w:szCs w:val="24"/>
          <w:vertAlign w:val="superscript"/>
        </w:rPr>
        <w:t>1</w:t>
      </w:r>
      <w:r w:rsidRPr="00F67F07">
        <w:rPr>
          <w:rFonts w:ascii="Times New Roman" w:hAnsi="Times New Roman" w:cs="Times New Roman"/>
          <w:b/>
          <w:sz w:val="24"/>
          <w:szCs w:val="24"/>
        </w:rPr>
        <w:t xml:space="preserve">, </w:t>
      </w:r>
      <w:proofErr w:type="spellStart"/>
      <w:r>
        <w:rPr>
          <w:rFonts w:ascii="Times New Roman" w:hAnsi="Times New Roman" w:cs="Times New Roman"/>
          <w:b/>
          <w:sz w:val="24"/>
          <w:szCs w:val="24"/>
        </w:rPr>
        <w:t>Mukhtar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Alam</w:t>
      </w:r>
      <w:proofErr w:type="spellEnd"/>
      <w:r>
        <w:rPr>
          <w:rFonts w:ascii="Times New Roman" w:hAnsi="Times New Roman" w:cs="Times New Roman"/>
          <w:b/>
          <w:sz w:val="24"/>
          <w:szCs w:val="24"/>
        </w:rPr>
        <w:t xml:space="preserve"> </w:t>
      </w:r>
      <w:r>
        <w:rPr>
          <w:rFonts w:ascii="Times New Roman" w:hAnsi="Times New Roman" w:cs="Times New Roman"/>
          <w:b/>
          <w:sz w:val="24"/>
          <w:szCs w:val="24"/>
          <w:vertAlign w:val="superscript"/>
        </w:rPr>
        <w:t>2</w:t>
      </w:r>
      <w:r w:rsidRPr="00F67F07">
        <w:rPr>
          <w:rFonts w:ascii="Times New Roman" w:hAnsi="Times New Roman" w:cs="Times New Roman"/>
          <w:b/>
          <w:sz w:val="24"/>
          <w:szCs w:val="24"/>
          <w:vertAlign w:val="superscript"/>
        </w:rPr>
        <w:t xml:space="preserve"> </w:t>
      </w:r>
    </w:p>
    <w:p w:rsidR="00DC711A" w:rsidRPr="00F67F07" w:rsidRDefault="00DC711A" w:rsidP="00DC7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both"/>
        <w:rPr>
          <w:rFonts w:ascii="Times New Roman" w:eastAsia="Times New Roman" w:hAnsi="Times New Roman"/>
          <w:sz w:val="24"/>
          <w:szCs w:val="24"/>
        </w:rPr>
      </w:pPr>
      <w:r w:rsidRPr="00F67F07">
        <w:rPr>
          <w:rFonts w:ascii="Times New Roman" w:eastAsia="Times New Roman" w:hAnsi="Times New Roman"/>
          <w:sz w:val="24"/>
          <w:szCs w:val="24"/>
          <w:vertAlign w:val="superscript"/>
        </w:rPr>
        <w:t xml:space="preserve">1 </w:t>
      </w:r>
      <w:r w:rsidRPr="00F67F07">
        <w:rPr>
          <w:rFonts w:ascii="Times New Roman" w:eastAsia="Times New Roman" w:hAnsi="Times New Roman"/>
          <w:sz w:val="24"/>
          <w:szCs w:val="24"/>
        </w:rPr>
        <w:t xml:space="preserve">Department of Agriculture, University of </w:t>
      </w:r>
      <w:proofErr w:type="spellStart"/>
      <w:r w:rsidRPr="00F67F07">
        <w:rPr>
          <w:rFonts w:ascii="Times New Roman" w:eastAsia="Times New Roman" w:hAnsi="Times New Roman"/>
          <w:sz w:val="24"/>
          <w:szCs w:val="24"/>
        </w:rPr>
        <w:t>Swabi</w:t>
      </w:r>
      <w:proofErr w:type="spellEnd"/>
      <w:r w:rsidRPr="00F67F07">
        <w:rPr>
          <w:rFonts w:ascii="Times New Roman" w:eastAsia="Times New Roman" w:hAnsi="Times New Roman"/>
          <w:sz w:val="24"/>
          <w:szCs w:val="24"/>
        </w:rPr>
        <w:t>, Pakistan</w:t>
      </w:r>
    </w:p>
    <w:p w:rsidR="00DC711A" w:rsidRPr="00F67F07" w:rsidRDefault="00DC711A" w:rsidP="00DC7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480" w:lineRule="auto"/>
        <w:jc w:val="both"/>
        <w:rPr>
          <w:rFonts w:ascii="Times New Roman" w:eastAsia="Times New Roman" w:hAnsi="Times New Roman"/>
          <w:sz w:val="24"/>
          <w:szCs w:val="24"/>
        </w:rPr>
      </w:pPr>
      <w:proofErr w:type="gramStart"/>
      <w:r w:rsidRPr="00F67F07">
        <w:rPr>
          <w:rFonts w:ascii="Times New Roman" w:eastAsia="Times New Roman" w:hAnsi="Times New Roman"/>
          <w:sz w:val="24"/>
          <w:szCs w:val="24"/>
          <w:vertAlign w:val="superscript"/>
        </w:rPr>
        <w:t xml:space="preserve">2  </w:t>
      </w:r>
      <w:r w:rsidRPr="00F67F07">
        <w:rPr>
          <w:rFonts w:ascii="Times New Roman" w:eastAsia="Times New Roman" w:hAnsi="Times New Roman"/>
          <w:sz w:val="24"/>
          <w:szCs w:val="24"/>
        </w:rPr>
        <w:t>Department</w:t>
      </w:r>
      <w:proofErr w:type="gramEnd"/>
      <w:r w:rsidRPr="00F67F07">
        <w:rPr>
          <w:rFonts w:ascii="Times New Roman" w:eastAsia="Times New Roman" w:hAnsi="Times New Roman"/>
          <w:sz w:val="24"/>
          <w:szCs w:val="24"/>
        </w:rPr>
        <w:t xml:space="preserve"> of Soil and Environmental Sciences, The University of Agriculture, Peshawar</w:t>
      </w:r>
    </w:p>
    <w:p w:rsidR="00DC711A" w:rsidRPr="00F67F07" w:rsidRDefault="00DC711A" w:rsidP="00DC711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Abstract </w:t>
      </w:r>
    </w:p>
    <w:p w:rsidR="00DC711A" w:rsidRPr="00F67F07" w:rsidRDefault="00DC711A" w:rsidP="00DC711A">
      <w:pPr>
        <w:spacing w:line="480" w:lineRule="auto"/>
        <w:jc w:val="both"/>
        <w:rPr>
          <w:rFonts w:ascii="Times New Roman" w:hAnsi="Times New Roman" w:cs="Times New Roman"/>
          <w:sz w:val="24"/>
          <w:szCs w:val="24"/>
        </w:rPr>
      </w:pPr>
      <w:r w:rsidRPr="00F67F07">
        <w:rPr>
          <w:rFonts w:ascii="Times New Roman" w:hAnsi="Times New Roman" w:cs="Times New Roman"/>
          <w:sz w:val="24"/>
          <w:szCs w:val="24"/>
        </w:rPr>
        <w:t xml:space="preserve">On approximately 30-40% of cultivable land worldwide, crop yield is low owing to phosphorus (P) deficiency. Additionally, its bioavailability too, is low, in both acidic and alkaline soils. Phosphate </w:t>
      </w:r>
      <w:proofErr w:type="spellStart"/>
      <w:r w:rsidRPr="00F67F07">
        <w:rPr>
          <w:rFonts w:ascii="Times New Roman" w:hAnsi="Times New Roman" w:cs="Times New Roman"/>
          <w:sz w:val="24"/>
          <w:szCs w:val="24"/>
        </w:rPr>
        <w:t>solubilizing</w:t>
      </w:r>
      <w:proofErr w:type="spellEnd"/>
      <w:r w:rsidRPr="00F67F07">
        <w:rPr>
          <w:rFonts w:ascii="Times New Roman" w:hAnsi="Times New Roman" w:cs="Times New Roman"/>
          <w:sz w:val="24"/>
          <w:szCs w:val="24"/>
        </w:rPr>
        <w:t xml:space="preserve"> bacteria (PSB) are known to improve crop growth and P availability in alkaline soils. We evaluated the potential of PSB for improving maize growth and P nutrition in alkaline soils with different lime content, with additional supplementation with different fertilizers</w:t>
      </w:r>
      <w:r w:rsidRPr="00F67F07">
        <w:rPr>
          <w:rFonts w:ascii="Times New Roman" w:eastAsia="Times New Roman" w:hAnsi="Times New Roman" w:cs="Times New Roman"/>
          <w:sz w:val="24"/>
          <w:szCs w:val="24"/>
        </w:rPr>
        <w:t>(single super phosphate (SSP), rock phosphate (RP), farmyard manure (FYM), and poultry manure (PM))</w:t>
      </w:r>
      <w:r w:rsidRPr="00F67F07">
        <w:rPr>
          <w:rFonts w:ascii="Times New Roman" w:eastAsia="Times New Roman" w:hAnsi="Times New Roman"/>
          <w:sz w:val="24"/>
          <w:szCs w:val="24"/>
        </w:rPr>
        <w:t xml:space="preserve">. A three factorial randomized design was used. </w:t>
      </w:r>
      <w:r w:rsidRPr="00F67F07">
        <w:rPr>
          <w:rFonts w:ascii="Times New Roman" w:hAnsi="Times New Roman" w:cs="Times New Roman"/>
          <w:sz w:val="24"/>
          <w:szCs w:val="24"/>
        </w:rPr>
        <w:t xml:space="preserve">Inoculation and P application in the form of the organic sources (PM and FYM) improved crop growth and P nutrition compared with that under control and mineral sources (SSP and RP). Liming alkaline soil had a detrimental effect. Interactively, use of PSB and organic manure neutralized the hostile effect of liming on the mentioned traits up to 5%. Generally, mineral P sources with PSB were as effective as the organic sources alone. Furthermore, while SSP showed better results than R, the latter performed comparably upon PSB inoculation. Thus, PSB plus organic manure application is an eco-friendly option to improve crop yield and P nutrition in calcareous soil. </w:t>
      </w:r>
    </w:p>
    <w:p w:rsidR="00717B17" w:rsidRDefault="00717B17"/>
    <w:sectPr w:rsidR="00717B17" w:rsidSect="00717B1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DC711A"/>
    <w:rsid w:val="00473B51"/>
    <w:rsid w:val="00717B17"/>
    <w:rsid w:val="00DC71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1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1414</Characters>
  <Application>Microsoft Office Word</Application>
  <DocSecurity>0</DocSecurity>
  <Lines>11</Lines>
  <Paragraphs>3</Paragraphs>
  <ScaleCrop>false</ScaleCrop>
  <Company/>
  <LinksUpToDate>false</LinksUpToDate>
  <CharactersWithSpaces>1658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2018-08-29T19:00:00Z</dcterms:created>
  <dcterms:modified xsi:type="dcterms:W3CDTF">2018-08-29T19:02:00Z</dcterms:modified>
</cp:coreProperties>
</file>