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D0" w:rsidRPr="009E77D0" w:rsidRDefault="009E77D0" w:rsidP="009E77D0">
      <w:pPr>
        <w:spacing w:after="200" w:line="276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E77D0">
        <w:rPr>
          <w:rFonts w:ascii="Arial" w:eastAsia="Times New Roman" w:hAnsi="Arial" w:cs="Arial"/>
          <w:b/>
          <w:sz w:val="28"/>
          <w:szCs w:val="28"/>
        </w:rPr>
        <w:t xml:space="preserve">Selected soil essential elements and microbial activities </w:t>
      </w:r>
      <w:r w:rsidR="00B57C68">
        <w:rPr>
          <w:rFonts w:ascii="Arial" w:eastAsia="Times New Roman" w:hAnsi="Arial" w:cs="Arial"/>
          <w:b/>
          <w:sz w:val="28"/>
          <w:szCs w:val="28"/>
        </w:rPr>
        <w:t>on soils</w:t>
      </w:r>
      <w:r w:rsidR="009461D0" w:rsidRPr="009461D0">
        <w:rPr>
          <w:rFonts w:ascii="Arial" w:eastAsia="Times New Roman" w:hAnsi="Arial" w:cs="Arial"/>
          <w:b/>
          <w:sz w:val="28"/>
          <w:szCs w:val="28"/>
        </w:rPr>
        <w:t xml:space="preserve"> irrigated </w:t>
      </w:r>
      <w:r w:rsidR="009461D0">
        <w:rPr>
          <w:rFonts w:ascii="Arial" w:eastAsia="Times New Roman" w:hAnsi="Arial" w:cs="Arial"/>
          <w:b/>
          <w:sz w:val="28"/>
          <w:szCs w:val="28"/>
        </w:rPr>
        <w:t xml:space="preserve">with treated </w:t>
      </w:r>
      <w:r w:rsidRPr="009E77D0">
        <w:rPr>
          <w:rFonts w:ascii="Arial" w:eastAsia="Times New Roman" w:hAnsi="Arial" w:cs="Arial"/>
          <w:b/>
          <w:sz w:val="28"/>
          <w:szCs w:val="28"/>
        </w:rPr>
        <w:t xml:space="preserve">wastewater </w:t>
      </w:r>
    </w:p>
    <w:p w:rsidR="009E77D0" w:rsidRPr="00907D42" w:rsidRDefault="009E77D0" w:rsidP="009E77D0">
      <w:pPr>
        <w:spacing w:after="0" w:line="276" w:lineRule="auto"/>
        <w:rPr>
          <w:rFonts w:ascii="Arial" w:eastAsia="Times New Roman" w:hAnsi="Arial" w:cs="Arial"/>
          <w:b/>
          <w:bCs/>
          <w:lang w:val="en-US"/>
        </w:rPr>
      </w:pPr>
    </w:p>
    <w:p w:rsidR="009E77D0" w:rsidRPr="00907D42" w:rsidRDefault="009E77D0" w:rsidP="009E77D0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vertAlign w:val="superscript"/>
          <w:lang w:val="en-US"/>
        </w:rPr>
      </w:pPr>
      <w:proofErr w:type="spellStart"/>
      <w:r w:rsidRPr="00907D42">
        <w:rPr>
          <w:rFonts w:ascii="Arial" w:eastAsia="Times New Roman" w:hAnsi="Arial" w:cs="Arial"/>
          <w:b/>
          <w:sz w:val="20"/>
          <w:szCs w:val="20"/>
          <w:lang w:val="en-US"/>
        </w:rPr>
        <w:t>Kganyago</w:t>
      </w:r>
      <w:proofErr w:type="spellEnd"/>
      <w:r w:rsidR="003D3582">
        <w:rPr>
          <w:rFonts w:ascii="Arial" w:eastAsia="Times New Roman" w:hAnsi="Arial" w:cs="Arial"/>
          <w:b/>
          <w:sz w:val="20"/>
          <w:szCs w:val="20"/>
          <w:lang w:val="en-US"/>
        </w:rPr>
        <w:t xml:space="preserve"> ZM</w:t>
      </w:r>
      <w:r w:rsidR="003D3582" w:rsidRPr="003D3582">
        <w:rPr>
          <w:rFonts w:ascii="Arial" w:eastAsia="Times New Roman" w:hAnsi="Arial" w:cs="Arial"/>
          <w:b/>
          <w:sz w:val="20"/>
          <w:szCs w:val="20"/>
          <w:vertAlign w:val="superscript"/>
          <w:lang w:val="en-US"/>
        </w:rPr>
        <w:t>1</w:t>
      </w:r>
      <w:r w:rsidRPr="00907D42">
        <w:rPr>
          <w:rFonts w:ascii="Arial" w:eastAsia="Times New Roman" w:hAnsi="Arial" w:cs="Arial"/>
          <w:b/>
          <w:sz w:val="20"/>
          <w:szCs w:val="20"/>
          <w:lang w:val="en-US"/>
        </w:rPr>
        <w:t xml:space="preserve">, </w:t>
      </w:r>
      <w:proofErr w:type="spellStart"/>
      <w:r w:rsidRPr="00907D42">
        <w:rPr>
          <w:rFonts w:ascii="Arial" w:eastAsia="Times New Roman" w:hAnsi="Arial" w:cs="Arial"/>
          <w:b/>
          <w:sz w:val="20"/>
          <w:szCs w:val="20"/>
          <w:lang w:val="en-US"/>
        </w:rPr>
        <w:t>Kgopa</w:t>
      </w:r>
      <w:proofErr w:type="spellEnd"/>
      <w:r w:rsidR="003D3582">
        <w:rPr>
          <w:rFonts w:ascii="Arial" w:eastAsia="Times New Roman" w:hAnsi="Arial" w:cs="Arial"/>
          <w:b/>
          <w:sz w:val="20"/>
          <w:szCs w:val="20"/>
          <w:lang w:val="en-US"/>
        </w:rPr>
        <w:t xml:space="preserve"> PM</w:t>
      </w:r>
      <w:r w:rsidR="003D3582" w:rsidRPr="003D3582">
        <w:rPr>
          <w:rFonts w:ascii="Arial" w:eastAsia="Times New Roman" w:hAnsi="Arial" w:cs="Arial"/>
          <w:b/>
          <w:sz w:val="20"/>
          <w:szCs w:val="20"/>
          <w:vertAlign w:val="superscript"/>
          <w:lang w:val="en-US"/>
        </w:rPr>
        <w:t>1</w:t>
      </w:r>
      <w:r w:rsidR="003D3582">
        <w:rPr>
          <w:rFonts w:ascii="Arial" w:eastAsia="Times New Roman" w:hAnsi="Arial" w:cs="Arial"/>
          <w:b/>
          <w:sz w:val="20"/>
          <w:szCs w:val="20"/>
          <w:vertAlign w:val="superscript"/>
          <w:lang w:val="en-US"/>
        </w:rPr>
        <w:t>*</w:t>
      </w:r>
      <w:r w:rsidRPr="00907D42">
        <w:rPr>
          <w:rFonts w:ascii="Arial" w:eastAsia="Times New Roman" w:hAnsi="Arial" w:cs="Arial"/>
          <w:b/>
          <w:sz w:val="20"/>
          <w:szCs w:val="20"/>
          <w:lang w:val="en-US"/>
        </w:rPr>
        <w:t xml:space="preserve">, </w:t>
      </w:r>
      <w:proofErr w:type="spellStart"/>
      <w:r w:rsidRPr="00907D42">
        <w:rPr>
          <w:rFonts w:ascii="Arial" w:eastAsia="Times New Roman" w:hAnsi="Arial" w:cs="Arial"/>
          <w:b/>
          <w:sz w:val="20"/>
          <w:szCs w:val="20"/>
          <w:lang w:val="en-US"/>
        </w:rPr>
        <w:t>Manyevere</w:t>
      </w:r>
      <w:proofErr w:type="spellEnd"/>
      <w:r w:rsidR="003D3582">
        <w:rPr>
          <w:rFonts w:ascii="Arial" w:eastAsia="Times New Roman" w:hAnsi="Arial" w:cs="Arial"/>
          <w:b/>
          <w:sz w:val="20"/>
          <w:szCs w:val="20"/>
          <w:lang w:val="en-US"/>
        </w:rPr>
        <w:t xml:space="preserve"> A</w:t>
      </w:r>
      <w:r w:rsidR="003D3582" w:rsidRPr="003D3582">
        <w:rPr>
          <w:rFonts w:ascii="Arial" w:eastAsia="Times New Roman" w:hAnsi="Arial" w:cs="Arial"/>
          <w:b/>
          <w:sz w:val="20"/>
          <w:szCs w:val="20"/>
          <w:vertAlign w:val="superscript"/>
          <w:lang w:val="en-US"/>
        </w:rPr>
        <w:t>2</w:t>
      </w:r>
    </w:p>
    <w:p w:rsidR="009E77D0" w:rsidRPr="00907D42" w:rsidRDefault="009E77D0" w:rsidP="009E77D0">
      <w:pPr>
        <w:spacing w:after="0" w:line="276" w:lineRule="auto"/>
        <w:rPr>
          <w:rFonts w:ascii="Arial" w:eastAsia="Times New Roman" w:hAnsi="Arial" w:cs="Arial"/>
          <w:b/>
          <w:lang w:val="en-US"/>
        </w:rPr>
      </w:pPr>
    </w:p>
    <w:p w:rsidR="009E77D0" w:rsidRDefault="00B57C68" w:rsidP="009E77D0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lang w:val="en-US"/>
        </w:rPr>
      </w:pPr>
      <w:r w:rsidRPr="00B57C68">
        <w:rPr>
          <w:rFonts w:ascii="Arial" w:eastAsia="Times New Roman" w:hAnsi="Arial" w:cs="Arial"/>
          <w:sz w:val="20"/>
          <w:szCs w:val="20"/>
          <w:vertAlign w:val="superscript"/>
          <w:lang w:val="en-US"/>
        </w:rPr>
        <w:t>1</w:t>
      </w:r>
      <w:r w:rsidR="009E77D0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University of Limpopo, School of Agriculture and Environmental science, Private Bag X1106, </w:t>
      </w:r>
      <w:proofErr w:type="spellStart"/>
      <w:r w:rsidR="009E77D0" w:rsidRPr="003D3582">
        <w:rPr>
          <w:rFonts w:ascii="Arial" w:eastAsia="Times New Roman" w:hAnsi="Arial" w:cs="Arial"/>
          <w:sz w:val="20"/>
          <w:szCs w:val="20"/>
          <w:lang w:val="en-US"/>
        </w:rPr>
        <w:t>Sovenga</w:t>
      </w:r>
      <w:proofErr w:type="spellEnd"/>
      <w:r w:rsidR="009E77D0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0727, South Africa</w:t>
      </w:r>
      <w:r>
        <w:rPr>
          <w:rFonts w:ascii="Arial" w:eastAsia="Times New Roman" w:hAnsi="Arial" w:cs="Arial"/>
          <w:sz w:val="20"/>
          <w:szCs w:val="20"/>
          <w:lang w:val="en-US"/>
        </w:rPr>
        <w:t>.</w:t>
      </w:r>
    </w:p>
    <w:p w:rsidR="00B57C68" w:rsidRPr="00C074F1" w:rsidRDefault="00B57C68" w:rsidP="00B57C68">
      <w:pPr>
        <w:spacing w:line="276" w:lineRule="auto"/>
        <w:jc w:val="center"/>
        <w:rPr>
          <w:rFonts w:ascii="Arial" w:hAnsi="Arial" w:cs="Arial"/>
          <w:i/>
          <w:sz w:val="20"/>
          <w:szCs w:val="20"/>
        </w:rPr>
      </w:pPr>
      <w:r w:rsidRPr="00C074F1">
        <w:rPr>
          <w:rFonts w:ascii="Arial" w:hAnsi="Arial" w:cs="Arial"/>
          <w:i/>
          <w:sz w:val="20"/>
          <w:szCs w:val="20"/>
          <w:vertAlign w:val="superscript"/>
        </w:rPr>
        <w:t>2</w:t>
      </w:r>
      <w:r w:rsidRPr="00C074F1">
        <w:rPr>
          <w:rFonts w:ascii="Arial" w:hAnsi="Arial" w:cs="Arial"/>
          <w:i/>
          <w:sz w:val="20"/>
          <w:szCs w:val="20"/>
        </w:rPr>
        <w:t>Department of Agronomy, University of Fort Hare, Private Bag X1314, King William's Town Rd, Alice 5700, South Africa</w:t>
      </w:r>
    </w:p>
    <w:p w:rsidR="009E77D0" w:rsidRPr="003D3582" w:rsidRDefault="009E77D0" w:rsidP="009E77D0">
      <w:pPr>
        <w:spacing w:after="0" w:line="276" w:lineRule="auto"/>
        <w:jc w:val="center"/>
        <w:rPr>
          <w:rFonts w:ascii="Arial" w:eastAsia="Times New Roman" w:hAnsi="Arial" w:cs="Arial"/>
          <w:color w:val="0000FF"/>
          <w:sz w:val="20"/>
          <w:szCs w:val="20"/>
          <w:lang w:val="en-US"/>
        </w:rPr>
      </w:pPr>
      <w:r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E-mail address: </w:t>
      </w:r>
      <w:r w:rsidR="003D3582" w:rsidRPr="003D3582">
        <w:rPr>
          <w:rFonts w:ascii="Arial" w:eastAsia="Times New Roman" w:hAnsi="Arial" w:cs="Arial"/>
          <w:sz w:val="20"/>
          <w:szCs w:val="20"/>
          <w:u w:val="single"/>
          <w:lang w:val="en-US"/>
        </w:rPr>
        <w:t>pholosho.kgopa@ul.ac.za</w:t>
      </w:r>
      <w:hyperlink r:id="rId6" w:history="1"/>
    </w:p>
    <w:p w:rsidR="009E77D0" w:rsidRPr="00907D42" w:rsidRDefault="009E77D0" w:rsidP="009E77D0">
      <w:pPr>
        <w:spacing w:after="0" w:line="276" w:lineRule="auto"/>
        <w:jc w:val="center"/>
        <w:rPr>
          <w:rFonts w:ascii="Arial" w:eastAsia="Times New Roman" w:hAnsi="Arial" w:cs="Arial"/>
          <w:lang w:val="en-US"/>
        </w:rPr>
      </w:pPr>
    </w:p>
    <w:p w:rsidR="006519B7" w:rsidRDefault="006519B7" w:rsidP="009E77D0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0E521E" w:rsidRDefault="000E521E" w:rsidP="009E77D0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  <w:sectPr w:rsidR="000E521E" w:rsidSect="00FB6D6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E77D0" w:rsidRPr="003D3582" w:rsidRDefault="009E77D0" w:rsidP="009E77D0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D3582">
        <w:rPr>
          <w:rFonts w:ascii="Arial" w:eastAsia="Times New Roman" w:hAnsi="Arial" w:cs="Arial"/>
          <w:b/>
          <w:sz w:val="20"/>
          <w:szCs w:val="20"/>
        </w:rPr>
        <w:lastRenderedPageBreak/>
        <w:t>Abstract</w:t>
      </w:r>
    </w:p>
    <w:p w:rsidR="007920EA" w:rsidRPr="003D3582" w:rsidRDefault="009E77D0" w:rsidP="007920EA">
      <w:pPr>
        <w:spacing w:before="240"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D3582">
        <w:rPr>
          <w:rFonts w:ascii="Arial" w:eastAsia="Times New Roman" w:hAnsi="Arial" w:cs="Arial"/>
          <w:sz w:val="20"/>
          <w:szCs w:val="20"/>
        </w:rPr>
        <w:t>The</w:t>
      </w:r>
      <w:r w:rsidR="005E4293" w:rsidRPr="003D3582">
        <w:rPr>
          <w:rFonts w:ascii="Arial" w:eastAsia="Times New Roman" w:hAnsi="Arial" w:cs="Arial"/>
          <w:sz w:val="20"/>
          <w:szCs w:val="20"/>
        </w:rPr>
        <w:t xml:space="preserve"> objective of this study was to</w:t>
      </w:r>
      <w:r w:rsidR="005E4293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="005E4293" w:rsidRPr="003D3582">
        <w:rPr>
          <w:rFonts w:ascii="Arial" w:eastAsia="Times New Roman" w:hAnsi="Arial" w:cs="Arial"/>
          <w:sz w:val="20"/>
          <w:szCs w:val="20"/>
        </w:rPr>
        <w:t>investigate the response of some critical nutrients, microbial and enzyme activities on soils irrigated with treated wastewater at the UL Experimental Farm.</w:t>
      </w:r>
      <w:r w:rsidR="00AA796E" w:rsidRPr="003D3582">
        <w:rPr>
          <w:rFonts w:ascii="Arial" w:hAnsi="Arial" w:cs="Arial"/>
          <w:sz w:val="20"/>
          <w:szCs w:val="20"/>
        </w:rPr>
        <w:t xml:space="preserve"> </w:t>
      </w:r>
      <w:r w:rsidR="00AA796E" w:rsidRPr="003D3582">
        <w:rPr>
          <w:rFonts w:ascii="Arial" w:eastAsia="Times New Roman" w:hAnsi="Arial" w:cs="Arial"/>
          <w:sz w:val="20"/>
          <w:szCs w:val="20"/>
        </w:rPr>
        <w:t>The study was composed of two factors (Fields and Sampling depth). The first factor had three 4 ha fields namely, virgin field (VF), cultivated field (CF) and fallowed field (FF). The second factor comprised of three top soil depths (</w:t>
      </w:r>
      <w:r w:rsidR="00AA796E" w:rsidRPr="003D3582">
        <w:rPr>
          <w:rFonts w:ascii="Arial" w:eastAsia="Times New Roman" w:hAnsi="Arial" w:cs="Arial"/>
          <w:sz w:val="20"/>
          <w:szCs w:val="20"/>
          <w:lang w:val="en-US"/>
        </w:rPr>
        <w:t>0-5, 5-15 and 15-30 cm</w:t>
      </w:r>
      <w:r w:rsidR="00AA796E" w:rsidRPr="003D3582">
        <w:rPr>
          <w:rFonts w:ascii="Arial" w:eastAsia="Times New Roman" w:hAnsi="Arial" w:cs="Arial"/>
          <w:sz w:val="20"/>
          <w:szCs w:val="20"/>
        </w:rPr>
        <w:t>).</w:t>
      </w:r>
      <w:r w:rsidR="00AA796E" w:rsidRPr="003D3582">
        <w:rPr>
          <w:rFonts w:ascii="Arial" w:hAnsi="Arial" w:cs="Arial"/>
          <w:sz w:val="20"/>
          <w:szCs w:val="20"/>
        </w:rPr>
        <w:t xml:space="preserve"> </w:t>
      </w:r>
      <w:r w:rsidR="00742A96" w:rsidRPr="003D3582">
        <w:rPr>
          <w:rFonts w:ascii="Arial" w:eastAsia="Times New Roman" w:hAnsi="Arial" w:cs="Arial"/>
          <w:sz w:val="20"/>
          <w:szCs w:val="20"/>
        </w:rPr>
        <w:t>Each field was divided into 20 equal grids of 50 m × 40 m. Eight r</w:t>
      </w:r>
      <w:r w:rsidR="00AA796E" w:rsidRPr="003D3582">
        <w:rPr>
          <w:rFonts w:ascii="Arial" w:eastAsia="Times New Roman" w:hAnsi="Arial" w:cs="Arial"/>
          <w:sz w:val="20"/>
          <w:szCs w:val="20"/>
        </w:rPr>
        <w:t xml:space="preserve">eference soil samples were collected from the centre of each grid at 10 m intervals and bulked to make a composite sample. </w:t>
      </w:r>
      <w:r w:rsidR="00AA796E" w:rsidRPr="003D3582">
        <w:rPr>
          <w:rFonts w:ascii="Arial" w:eastAsia="Times New Roman" w:hAnsi="Arial" w:cs="Arial"/>
          <w:sz w:val="20"/>
          <w:szCs w:val="20"/>
          <w:lang w:val="en-US"/>
        </w:rPr>
        <w:t>The composite samples were then transferred into a sterile sampling bag, and transported in cooler boxes to</w:t>
      </w:r>
      <w:r w:rsidR="00742A96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the</w:t>
      </w:r>
      <w:r w:rsidR="00AA796E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University of Limpopo Soil Science Laboratory for further preparation and analysis. 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>The soil was analysed for particle size distribution, pH, electrical conductivity (EC), mineralisable phosphorus (P), ammonium (NH</w:t>
      </w:r>
      <w:r w:rsidR="008009E5" w:rsidRPr="003D3582">
        <w:rPr>
          <w:rFonts w:ascii="Arial" w:eastAsia="Times New Roman" w:hAnsi="Arial" w:cs="Arial"/>
          <w:sz w:val="20"/>
          <w:szCs w:val="20"/>
          <w:vertAlign w:val="subscript"/>
          <w:lang w:val="en-US"/>
        </w:rPr>
        <w:t>4</w:t>
      </w:r>
      <w:r w:rsidR="008009E5" w:rsidRPr="003D3582">
        <w:rPr>
          <w:rFonts w:ascii="Arial" w:eastAsia="Times New Roman" w:hAnsi="Arial" w:cs="Arial"/>
          <w:sz w:val="20"/>
          <w:szCs w:val="20"/>
          <w:vertAlign w:val="superscript"/>
          <w:lang w:val="en-US"/>
        </w:rPr>
        <w:t>+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>) and nitrate (NO</w:t>
      </w:r>
      <w:r w:rsidR="008009E5" w:rsidRPr="003D3582">
        <w:rPr>
          <w:rFonts w:ascii="Arial" w:eastAsia="Times New Roman" w:hAnsi="Arial" w:cs="Arial"/>
          <w:sz w:val="20"/>
          <w:szCs w:val="20"/>
          <w:vertAlign w:val="subscript"/>
          <w:lang w:val="en-US"/>
        </w:rPr>
        <w:t>3</w:t>
      </w:r>
      <w:r w:rsidR="008009E5" w:rsidRPr="003D3582">
        <w:rPr>
          <w:rFonts w:ascii="Arial" w:eastAsia="Times New Roman" w:hAnsi="Arial" w:cs="Arial"/>
          <w:sz w:val="20"/>
          <w:szCs w:val="20"/>
          <w:vertAlign w:val="superscript"/>
          <w:lang w:val="en-US"/>
        </w:rPr>
        <w:t>-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), organic carbon (OC), active carbon (AC), potential mineralized nitrogen (PMN), </w:t>
      </w:r>
      <w:r w:rsidR="007920EA" w:rsidRPr="003D3582">
        <w:rPr>
          <w:rFonts w:ascii="Arial" w:eastAsia="Times New Roman" w:hAnsi="Arial" w:cs="Arial"/>
          <w:sz w:val="20"/>
          <w:szCs w:val="20"/>
          <w:lang w:val="en-US"/>
        </w:rPr>
        <w:t>f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>luorescein</w:t>
      </w:r>
      <w:r w:rsidR="007920EA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d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>iacetate (FDA)</w:t>
      </w:r>
      <w:r w:rsidR="007920EA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and p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>hosphatase</w:t>
      </w:r>
      <w:r w:rsidR="0043232D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(PTS)</w:t>
      </w:r>
      <w:r w:rsidR="008009E5" w:rsidRPr="003D3582">
        <w:rPr>
          <w:rFonts w:ascii="Arial" w:eastAsia="Times New Roman" w:hAnsi="Arial" w:cs="Arial"/>
          <w:sz w:val="20"/>
          <w:szCs w:val="20"/>
          <w:lang w:val="en-US"/>
        </w:rPr>
        <w:t xml:space="preserve"> enzyme activities. </w:t>
      </w:r>
      <w:r w:rsidR="008009E5" w:rsidRPr="003D3582">
        <w:rPr>
          <w:rFonts w:ascii="Arial" w:eastAsia="Times New Roman" w:hAnsi="Arial" w:cs="Arial"/>
          <w:sz w:val="20"/>
          <w:szCs w:val="20"/>
        </w:rPr>
        <w:t>All data w</w:t>
      </w:r>
      <w:r w:rsidR="009461D0" w:rsidRPr="003D3582">
        <w:rPr>
          <w:rFonts w:ascii="Arial" w:eastAsia="Times New Roman" w:hAnsi="Arial" w:cs="Arial"/>
          <w:sz w:val="20"/>
          <w:szCs w:val="20"/>
        </w:rPr>
        <w:t>ere</w:t>
      </w:r>
      <w:r w:rsidR="008009E5" w:rsidRPr="003D3582">
        <w:rPr>
          <w:rFonts w:ascii="Arial" w:eastAsia="Times New Roman" w:hAnsi="Arial" w:cs="Arial"/>
          <w:sz w:val="20"/>
          <w:szCs w:val="20"/>
        </w:rPr>
        <w:t xml:space="preserve"> subjected to ANOVA using Statistix 10.1. </w:t>
      </w:r>
      <w:r w:rsidR="00DD02EA" w:rsidRPr="003D3582">
        <w:rPr>
          <w:rFonts w:ascii="Arial" w:eastAsia="Times New Roman" w:hAnsi="Arial" w:cs="Arial"/>
          <w:sz w:val="20"/>
          <w:szCs w:val="20"/>
        </w:rPr>
        <w:t>E</w:t>
      </w:r>
      <w:r w:rsidR="007920EA" w:rsidRPr="003D3582">
        <w:rPr>
          <w:rFonts w:ascii="Arial" w:eastAsia="Times New Roman" w:hAnsi="Arial" w:cs="Arial"/>
          <w:sz w:val="20"/>
          <w:szCs w:val="20"/>
        </w:rPr>
        <w:t>lectrical conductivity and pH were not</w:t>
      </w:r>
      <w:r w:rsidR="00DD02EA" w:rsidRPr="003D3582">
        <w:rPr>
          <w:rFonts w:ascii="Arial" w:eastAsia="Times New Roman" w:hAnsi="Arial" w:cs="Arial"/>
          <w:sz w:val="20"/>
          <w:szCs w:val="20"/>
        </w:rPr>
        <w:t xml:space="preserve"> </w:t>
      </w:r>
      <w:r w:rsidR="00DD02EA" w:rsidRPr="003D3582">
        <w:rPr>
          <w:rFonts w:ascii="Arial" w:eastAsia="Times New Roman" w:hAnsi="Arial" w:cs="Arial"/>
          <w:sz w:val="20"/>
          <w:szCs w:val="20"/>
        </w:rPr>
        <w:lastRenderedPageBreak/>
        <w:t>significantly different in all</w:t>
      </w:r>
      <w:r w:rsidR="007920EA" w:rsidRPr="003D3582">
        <w:rPr>
          <w:rFonts w:ascii="Arial" w:eastAsia="Times New Roman" w:hAnsi="Arial" w:cs="Arial"/>
          <w:sz w:val="20"/>
          <w:szCs w:val="20"/>
        </w:rPr>
        <w:t xml:space="preserve"> soil depth and among the fields. Furthermore, NH</w:t>
      </w:r>
      <w:r w:rsidR="007920EA" w:rsidRPr="003D3582">
        <w:rPr>
          <w:rFonts w:ascii="Arial" w:eastAsia="Times New Roman" w:hAnsi="Arial" w:cs="Arial"/>
          <w:sz w:val="20"/>
          <w:szCs w:val="20"/>
          <w:vertAlign w:val="subscript"/>
        </w:rPr>
        <w:t>4</w:t>
      </w:r>
      <w:r w:rsidR="007920EA" w:rsidRPr="003D3582">
        <w:rPr>
          <w:rFonts w:ascii="Arial" w:eastAsia="Times New Roman" w:hAnsi="Arial" w:cs="Arial"/>
          <w:sz w:val="20"/>
          <w:szCs w:val="20"/>
          <w:vertAlign w:val="superscript"/>
        </w:rPr>
        <w:t>+</w:t>
      </w:r>
      <w:r w:rsidR="007920EA" w:rsidRPr="003D3582">
        <w:rPr>
          <w:rFonts w:ascii="Arial" w:eastAsia="Times New Roman" w:hAnsi="Arial" w:cs="Arial"/>
          <w:sz w:val="20"/>
          <w:szCs w:val="20"/>
        </w:rPr>
        <w:t>, NO</w:t>
      </w:r>
      <w:r w:rsidR="007920EA" w:rsidRPr="003D3582">
        <w:rPr>
          <w:rFonts w:ascii="Arial" w:eastAsia="Times New Roman" w:hAnsi="Arial" w:cs="Arial"/>
          <w:sz w:val="20"/>
          <w:szCs w:val="20"/>
          <w:vertAlign w:val="subscript"/>
        </w:rPr>
        <w:t>3</w:t>
      </w:r>
      <w:r w:rsidR="007920EA" w:rsidRPr="003D3582">
        <w:rPr>
          <w:rFonts w:ascii="Arial" w:eastAsia="Times New Roman" w:hAnsi="Arial" w:cs="Arial"/>
          <w:sz w:val="20"/>
          <w:szCs w:val="20"/>
          <w:vertAlign w:val="superscript"/>
        </w:rPr>
        <w:t>-</w:t>
      </w:r>
      <w:r w:rsidR="007920EA" w:rsidRPr="003D3582">
        <w:rPr>
          <w:rFonts w:ascii="Arial" w:eastAsia="Times New Roman" w:hAnsi="Arial" w:cs="Arial"/>
          <w:sz w:val="20"/>
          <w:szCs w:val="20"/>
        </w:rPr>
        <w:t xml:space="preserve"> and PMN were</w:t>
      </w:r>
      <w:r w:rsidR="0043232D" w:rsidRPr="003D3582">
        <w:rPr>
          <w:rFonts w:ascii="Arial" w:eastAsia="Times New Roman" w:hAnsi="Arial" w:cs="Arial"/>
          <w:sz w:val="20"/>
          <w:szCs w:val="20"/>
        </w:rPr>
        <w:t xml:space="preserve"> highly</w:t>
      </w:r>
      <w:r w:rsidR="007920EA" w:rsidRPr="003D3582">
        <w:rPr>
          <w:rFonts w:ascii="Arial" w:eastAsia="Times New Roman" w:hAnsi="Arial" w:cs="Arial"/>
          <w:sz w:val="20"/>
          <w:szCs w:val="20"/>
        </w:rPr>
        <w:t xml:space="preserve"> significant in soil depth. However, NO</w:t>
      </w:r>
      <w:r w:rsidR="007920EA" w:rsidRPr="003D3582">
        <w:rPr>
          <w:rFonts w:ascii="Arial" w:eastAsia="Times New Roman" w:hAnsi="Arial" w:cs="Arial"/>
          <w:sz w:val="20"/>
          <w:szCs w:val="20"/>
          <w:vertAlign w:val="subscript"/>
        </w:rPr>
        <w:t>3</w:t>
      </w:r>
      <w:r w:rsidR="007920EA" w:rsidRPr="003D3582">
        <w:rPr>
          <w:rFonts w:ascii="Arial" w:eastAsia="Times New Roman" w:hAnsi="Arial" w:cs="Arial"/>
          <w:sz w:val="20"/>
          <w:szCs w:val="20"/>
          <w:vertAlign w:val="superscript"/>
        </w:rPr>
        <w:t>-</w:t>
      </w:r>
      <w:r w:rsidR="007920EA" w:rsidRPr="003D3582">
        <w:rPr>
          <w:rFonts w:ascii="Arial" w:eastAsia="Times New Roman" w:hAnsi="Arial" w:cs="Arial"/>
          <w:sz w:val="20"/>
          <w:szCs w:val="20"/>
        </w:rPr>
        <w:t xml:space="preserve"> field × depth interaction effects were not significantly different. In contrast to all soil parameters, FDA and PTS activity for both soil depth and field × depth interaction effects were highly significant. The effect of treated wastewater is mainly observed in </w:t>
      </w:r>
      <w:r w:rsidR="00147F8A" w:rsidRPr="003D3582">
        <w:rPr>
          <w:rFonts w:ascii="Arial" w:eastAsia="Times New Roman" w:hAnsi="Arial" w:cs="Arial"/>
          <w:sz w:val="20"/>
          <w:szCs w:val="20"/>
        </w:rPr>
        <w:t xml:space="preserve">the </w:t>
      </w:r>
      <w:r w:rsidR="007920EA" w:rsidRPr="003D3582">
        <w:rPr>
          <w:rFonts w:ascii="Arial" w:eastAsia="Times New Roman" w:hAnsi="Arial" w:cs="Arial"/>
          <w:sz w:val="20"/>
          <w:szCs w:val="20"/>
        </w:rPr>
        <w:t>cultivated field. In conclusion, treated wastewater with fallowing could be used as the best approach to</w:t>
      </w:r>
      <w:r w:rsidR="00147F8A" w:rsidRPr="003D3582">
        <w:rPr>
          <w:rFonts w:ascii="Arial" w:eastAsia="Times New Roman" w:hAnsi="Arial" w:cs="Arial"/>
          <w:sz w:val="20"/>
          <w:szCs w:val="20"/>
        </w:rPr>
        <w:t xml:space="preserve"> </w:t>
      </w:r>
      <w:r w:rsidR="007920EA" w:rsidRPr="003D3582">
        <w:rPr>
          <w:rFonts w:ascii="Arial" w:eastAsia="Times New Roman" w:hAnsi="Arial" w:cs="Arial"/>
          <w:sz w:val="20"/>
          <w:szCs w:val="20"/>
        </w:rPr>
        <w:t>overcome high input</w:t>
      </w:r>
      <w:r w:rsidR="00147F8A" w:rsidRPr="003D3582">
        <w:rPr>
          <w:rFonts w:ascii="Arial" w:eastAsia="Times New Roman" w:hAnsi="Arial" w:cs="Arial"/>
          <w:sz w:val="20"/>
          <w:szCs w:val="20"/>
        </w:rPr>
        <w:t>s</w:t>
      </w:r>
      <w:r w:rsidR="007920EA" w:rsidRPr="003D3582">
        <w:rPr>
          <w:rFonts w:ascii="Arial" w:eastAsia="Times New Roman" w:hAnsi="Arial" w:cs="Arial"/>
          <w:sz w:val="20"/>
          <w:szCs w:val="20"/>
        </w:rPr>
        <w:t xml:space="preserve"> of synthetic fertiliser application.</w:t>
      </w:r>
    </w:p>
    <w:p w:rsidR="004707FD" w:rsidRPr="00B57C68" w:rsidRDefault="00147F8A" w:rsidP="006E58B9">
      <w:pPr>
        <w:spacing w:before="240"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B57C68">
        <w:rPr>
          <w:rFonts w:ascii="Arial" w:eastAsia="Times New Roman" w:hAnsi="Arial" w:cs="Arial"/>
          <w:b/>
          <w:sz w:val="20"/>
          <w:szCs w:val="20"/>
        </w:rPr>
        <w:t xml:space="preserve">Keywords: </w:t>
      </w:r>
      <w:r w:rsidR="00B0465A" w:rsidRPr="00B57C68">
        <w:rPr>
          <w:rFonts w:ascii="Arial" w:eastAsia="Times New Roman" w:hAnsi="Arial" w:cs="Arial"/>
          <w:b/>
          <w:sz w:val="20"/>
          <w:szCs w:val="20"/>
        </w:rPr>
        <w:t>Water reuse, essential elements, microbial activities</w:t>
      </w:r>
      <w:r w:rsidR="00B57C68" w:rsidRPr="00B57C68">
        <w:rPr>
          <w:rFonts w:ascii="Arial" w:eastAsia="Times New Roman" w:hAnsi="Arial" w:cs="Arial"/>
          <w:b/>
          <w:sz w:val="20"/>
          <w:szCs w:val="20"/>
        </w:rPr>
        <w:t>, fallowing</w:t>
      </w:r>
    </w:p>
    <w:p w:rsidR="000E521E" w:rsidRPr="003D3582" w:rsidRDefault="000E521E" w:rsidP="006E58B9">
      <w:pPr>
        <w:spacing w:before="240"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</w:p>
    <w:sectPr w:rsidR="000E521E" w:rsidRPr="003D3582" w:rsidSect="006519B7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D0"/>
    <w:rsid w:val="000E521E"/>
    <w:rsid w:val="001233A7"/>
    <w:rsid w:val="00142CCA"/>
    <w:rsid w:val="00147F8A"/>
    <w:rsid w:val="00334B70"/>
    <w:rsid w:val="0036034F"/>
    <w:rsid w:val="003D1011"/>
    <w:rsid w:val="003D3582"/>
    <w:rsid w:val="0043232D"/>
    <w:rsid w:val="005E4293"/>
    <w:rsid w:val="006519B7"/>
    <w:rsid w:val="006E58B9"/>
    <w:rsid w:val="00742A96"/>
    <w:rsid w:val="007920EA"/>
    <w:rsid w:val="008009E5"/>
    <w:rsid w:val="00823393"/>
    <w:rsid w:val="009461D0"/>
    <w:rsid w:val="009E77D0"/>
    <w:rsid w:val="00AA796E"/>
    <w:rsid w:val="00B0465A"/>
    <w:rsid w:val="00B57C68"/>
    <w:rsid w:val="00DD02EA"/>
    <w:rsid w:val="00E2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0FB7"/>
  <w15:chartTrackingRefBased/>
  <w15:docId w15:val="{598DAB68-1C33-4816-801C-92E69412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7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77D0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olosho.kgopa@ul.ac.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FB641-E4B5-4C87-BBB9-7ED199E46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ZAPHANIA</dc:creator>
  <cp:keywords/>
  <dc:description/>
  <cp:lastModifiedBy>Kgopa, Pholosho</cp:lastModifiedBy>
  <cp:revision>2</cp:revision>
  <dcterms:created xsi:type="dcterms:W3CDTF">2018-07-09T12:21:00Z</dcterms:created>
  <dcterms:modified xsi:type="dcterms:W3CDTF">2018-07-09T12:21:00Z</dcterms:modified>
</cp:coreProperties>
</file>