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BBC" w:rsidRDefault="00553F98" w:rsidP="00575E30">
      <w:pPr>
        <w:pStyle w:val="BodyText"/>
        <w:ind w:left="90"/>
        <w:rPr>
          <w:sz w:val="20"/>
        </w:rPr>
      </w:pPr>
      <w:r>
        <w:rPr>
          <w:noProof/>
          <w:sz w:val="20"/>
          <w:lang w:val="en-IN" w:eastAsia="en-IN"/>
        </w:rPr>
        <w:drawing>
          <wp:inline distT="0" distB="0" distL="0" distR="0">
            <wp:extent cx="7307249" cy="954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18882" cy="955675"/>
                    </a:xfrm>
                    <a:prstGeom prst="rect">
                      <a:avLst/>
                    </a:prstGeom>
                  </pic:spPr>
                </pic:pic>
              </a:graphicData>
            </a:graphic>
          </wp:inline>
        </w:drawing>
      </w:r>
    </w:p>
    <w:p w:rsidR="00464BBC" w:rsidRDefault="00CF2B65">
      <w:pPr>
        <w:pStyle w:val="BodyText"/>
        <w:spacing w:before="5"/>
        <w:rPr>
          <w:sz w:val="10"/>
        </w:rPr>
      </w:pPr>
      <w:r w:rsidRPr="00CF2B65">
        <w:rPr>
          <w:noProof/>
          <w:lang w:val="en-IN" w:eastAsia="en-IN"/>
        </w:rPr>
        <w:pict>
          <v:line id="Line 4" o:spid="_x0000_s1026"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464BBC" w:rsidRDefault="00464BBC">
      <w:pPr>
        <w:pStyle w:val="BodyText"/>
        <w:rPr>
          <w:b/>
          <w:sz w:val="14"/>
        </w:rPr>
      </w:pPr>
    </w:p>
    <w:p w:rsidR="00464BBC" w:rsidRDefault="006D0298">
      <w:pPr>
        <w:spacing w:before="92"/>
        <w:ind w:left="594" w:right="151"/>
        <w:rPr>
          <w:b/>
        </w:rPr>
      </w:pPr>
      <w:r>
        <w:rPr>
          <w:b/>
          <w:color w:val="585858"/>
        </w:rPr>
        <w:t xml:space="preserve">Title: </w:t>
      </w:r>
      <w:r w:rsidR="00050655">
        <w:rPr>
          <w:b/>
          <w:color w:val="585858"/>
        </w:rPr>
        <w:t>Relevance of Triple Deficit Hypothesis in India: An Asymmetric Approach</w:t>
      </w:r>
    </w:p>
    <w:p w:rsidR="00464BBC" w:rsidRDefault="00050655">
      <w:pPr>
        <w:pStyle w:val="Heading3"/>
        <w:spacing w:line="214" w:lineRule="exact"/>
        <w:ind w:left="594" w:firstLine="0"/>
      </w:pPr>
      <w:r>
        <w:rPr>
          <w:color w:val="585858"/>
        </w:rPr>
        <w:t>Dr. Ashok Mittal</w:t>
      </w:r>
      <w:r w:rsidR="006D0298">
        <w:rPr>
          <w:color w:val="585858"/>
          <w:position w:val="9"/>
          <w:sz w:val="12"/>
        </w:rPr>
        <w:t>1</w:t>
      </w:r>
      <w:r w:rsidR="006D0298">
        <w:rPr>
          <w:color w:val="585858"/>
        </w:rPr>
        <w:t xml:space="preserve">, </w:t>
      </w:r>
      <w:r>
        <w:rPr>
          <w:color w:val="585858"/>
        </w:rPr>
        <w:t>Vishal Sharma</w:t>
      </w:r>
      <w:hyperlink r:id="rId7" w:anchor="a1">
        <w:r>
          <w:rPr>
            <w:color w:val="585858"/>
            <w:position w:val="9"/>
            <w:sz w:val="12"/>
          </w:rPr>
          <w:t>2</w:t>
        </w:r>
        <w:r w:rsidR="006D0298">
          <w:rPr>
            <w:color w:val="585858"/>
          </w:rPr>
          <w:t>,</w:t>
        </w:r>
      </w:hyperlink>
      <w:r w:rsidR="006D0298">
        <w:rPr>
          <w:color w:val="585858"/>
        </w:rPr>
        <w:t xml:space="preserve"> </w:t>
      </w:r>
    </w:p>
    <w:p w:rsidR="00464BBC" w:rsidRDefault="006D0298">
      <w:pPr>
        <w:pStyle w:val="BodyText"/>
        <w:spacing w:before="126" w:line="231" w:lineRule="exact"/>
        <w:ind w:left="594"/>
      </w:pPr>
      <w:r>
        <w:rPr>
          <w:color w:val="585858"/>
          <w:position w:val="9"/>
          <w:sz w:val="12"/>
        </w:rPr>
        <w:t>1</w:t>
      </w:r>
      <w:r w:rsidR="00050655">
        <w:rPr>
          <w:color w:val="585858"/>
        </w:rPr>
        <w:t xml:space="preserve"> Professor, Department of Economics</w:t>
      </w:r>
      <w:r>
        <w:rPr>
          <w:color w:val="585858"/>
        </w:rPr>
        <w:t>,</w:t>
      </w:r>
      <w:r w:rsidR="00050655">
        <w:rPr>
          <w:color w:val="585858"/>
        </w:rPr>
        <w:t xml:space="preserve"> Aligarh Muslim University, Aligarh, India</w:t>
      </w:r>
      <w:r>
        <w:rPr>
          <w:color w:val="585858"/>
        </w:rPr>
        <w:t xml:space="preserve"> </w:t>
      </w:r>
    </w:p>
    <w:p w:rsidR="00464BBC" w:rsidRDefault="006D0298">
      <w:pPr>
        <w:pStyle w:val="BodyText"/>
        <w:spacing w:line="231" w:lineRule="exact"/>
        <w:ind w:left="594"/>
      </w:pPr>
      <w:r>
        <w:rPr>
          <w:color w:val="585858"/>
          <w:position w:val="9"/>
          <w:sz w:val="12"/>
        </w:rPr>
        <w:t>2</w:t>
      </w:r>
      <w:r w:rsidR="00050655">
        <w:rPr>
          <w:color w:val="585858"/>
        </w:rPr>
        <w:t>Senior Research Fellow, Department of Economics, Aligarh Muslim University, Aligarh, India</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Heading3"/>
        <w:spacing w:before="114"/>
        <w:ind w:left="426" w:right="9" w:firstLine="0"/>
        <w:jc w:val="both"/>
      </w:pPr>
      <w:r>
        <w:rPr>
          <w:color w:val="585858"/>
        </w:rPr>
        <w:lastRenderedPageBreak/>
        <w:t xml:space="preserve">Keywords: </w:t>
      </w:r>
      <w:r w:rsidR="00050655" w:rsidRPr="00050655">
        <w:rPr>
          <w:color w:val="585858"/>
        </w:rPr>
        <w:t>Fiscal Deficit, Current Account Deficit, Investment-Saving gap, NARDL model</w:t>
      </w:r>
    </w:p>
    <w:p w:rsidR="00464BBC" w:rsidRDefault="00464BBC">
      <w:pPr>
        <w:pStyle w:val="BodyText"/>
        <w:rPr>
          <w:b/>
          <w:sz w:val="20"/>
        </w:rPr>
      </w:pPr>
    </w:p>
    <w:p w:rsidR="00464BBC" w:rsidRDefault="00464BBC">
      <w:pPr>
        <w:pStyle w:val="BodyText"/>
        <w:spacing w:before="10"/>
        <w:rPr>
          <w:b/>
        </w:rPr>
      </w:pPr>
    </w:p>
    <w:p w:rsidR="00464BBC" w:rsidRDefault="006D0298">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050655" w:rsidRPr="00050655" w:rsidRDefault="00050655" w:rsidP="00E06F14">
      <w:pPr>
        <w:adjustRightInd w:val="0"/>
        <w:spacing w:line="360" w:lineRule="auto"/>
        <w:ind w:left="426"/>
        <w:jc w:val="both"/>
        <w:rPr>
          <w:color w:val="595959" w:themeColor="text1" w:themeTint="A6"/>
        </w:rPr>
      </w:pPr>
      <w:r w:rsidRPr="00050655">
        <w:rPr>
          <w:color w:val="595959" w:themeColor="text1" w:themeTint="A6"/>
          <w:sz w:val="19"/>
          <w:szCs w:val="19"/>
        </w:rPr>
        <w:t>The triple deficit hypothesis has intrigued</w:t>
      </w:r>
      <w:r w:rsidRPr="00050655">
        <w:rPr>
          <w:rFonts w:eastAsiaTheme="minorHAnsi"/>
          <w:color w:val="595959" w:themeColor="text1" w:themeTint="A6"/>
          <w:sz w:val="19"/>
          <w:szCs w:val="19"/>
        </w:rPr>
        <w:t xml:space="preserve"> economists and policy-makers in both developed and developing countries for past few years. </w:t>
      </w:r>
      <w:r w:rsidRPr="00050655">
        <w:rPr>
          <w:color w:val="595959" w:themeColor="text1" w:themeTint="A6"/>
          <w:sz w:val="19"/>
          <w:szCs w:val="19"/>
        </w:rPr>
        <w:t xml:space="preserve">Triple deficit hypothesis is the extension of twin deficit {i.e. Fiscal Deficit (FD) and Current Account Deficit (CAD)} hypothesis by including private investment-savings (PSI) gap. Empirically, twin deficit hypothesis is examined widely, whereas, the literature on triple deficit hypothesis is limited especially in the context of India. Thus, the issue of whether the triple deficit phenomenon holds becomes more of an empirical question. Therefore, the present study has made an attempt to examine the relevance of triple deficit hypothesis in India using Non-Linear Auto-Regressive Distributed Lag (NARDL) Bounds Testing of Cointegration proposed by </w:t>
      </w:r>
      <w:r w:rsidRPr="00050655">
        <w:rPr>
          <w:noProof/>
          <w:color w:val="595959" w:themeColor="text1" w:themeTint="A6"/>
          <w:sz w:val="19"/>
          <w:szCs w:val="19"/>
        </w:rPr>
        <w:t>Shin, Yu, &amp; Greenwood-Nimmo (2014)</w:t>
      </w:r>
      <w:r w:rsidRPr="00050655">
        <w:rPr>
          <w:color w:val="595959" w:themeColor="text1" w:themeTint="A6"/>
          <w:sz w:val="19"/>
          <w:szCs w:val="19"/>
        </w:rPr>
        <w:t xml:space="preserve">. </w:t>
      </w:r>
      <w:r w:rsidRPr="00050655">
        <w:rPr>
          <w:noProof/>
          <w:color w:val="595959" w:themeColor="text1" w:themeTint="A6"/>
          <w:sz w:val="19"/>
          <w:szCs w:val="19"/>
        </w:rPr>
        <w:t xml:space="preserve">The NARDL results </w:t>
      </w:r>
      <w:r w:rsidRPr="00050655">
        <w:rPr>
          <w:color w:val="595959" w:themeColor="text1" w:themeTint="A6"/>
          <w:sz w:val="19"/>
          <w:szCs w:val="19"/>
        </w:rPr>
        <w:t>found the evidence of asymmetric association between FD &amp; CAD and PSI &amp; CAD in the long-term time sphere only. The obtained results support the traditional views of Keynesian approach that fiscal deficit influences current account deficit in India. Further, results also found that PSI has positive impact on CAD which supports the evidence of presence of triple deficit hypothesis in case of India. However, it is observed that PSI is more influential than FD in determining the level of CAD in the long run. Therefore, the study suggests that, instead of public investment, the government should boost private investment in the economy for strengthening the external</w:t>
      </w:r>
      <w:r w:rsidRPr="00050655">
        <w:rPr>
          <w:color w:val="595959" w:themeColor="text1" w:themeTint="A6"/>
        </w:rPr>
        <w:t xml:space="preserve"> </w:t>
      </w:r>
      <w:r w:rsidRPr="00050655">
        <w:rPr>
          <w:color w:val="595959" w:themeColor="text1" w:themeTint="A6"/>
          <w:sz w:val="19"/>
          <w:szCs w:val="19"/>
        </w:rPr>
        <w:t>balance.</w:t>
      </w:r>
      <w:r w:rsidRPr="00050655">
        <w:rPr>
          <w:color w:val="595959" w:themeColor="text1" w:themeTint="A6"/>
        </w:rPr>
        <w:t xml:space="preserve"> </w:t>
      </w:r>
    </w:p>
    <w:p w:rsidR="00464BBC" w:rsidRDefault="00464BBC">
      <w:pPr>
        <w:pStyle w:val="BodyText"/>
        <w:spacing w:before="2"/>
      </w:pPr>
    </w:p>
    <w:p w:rsidR="00464BBC" w:rsidRDefault="00464BBC">
      <w:pPr>
        <w:pStyle w:val="BodyText"/>
        <w:ind w:left="1238"/>
        <w:rPr>
          <w:sz w:val="20"/>
        </w:rPr>
      </w:pPr>
    </w:p>
    <w:p w:rsidR="00464BBC" w:rsidRDefault="006D029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464BBC" w:rsidRDefault="00464BBC">
      <w:pPr>
        <w:pStyle w:val="BodyText"/>
        <w:spacing w:before="9"/>
        <w:rPr>
          <w:b/>
          <w:sz w:val="18"/>
        </w:rPr>
      </w:pPr>
    </w:p>
    <w:p w:rsidR="0043465B" w:rsidRDefault="0043465B" w:rsidP="00EB617A">
      <w:pPr>
        <w:pStyle w:val="BodyText"/>
        <w:numPr>
          <w:ilvl w:val="0"/>
          <w:numId w:val="4"/>
        </w:numPr>
        <w:tabs>
          <w:tab w:val="left" w:pos="1037"/>
        </w:tabs>
        <w:ind w:left="709" w:right="696"/>
        <w:jc w:val="both"/>
        <w:rPr>
          <w:color w:val="585858"/>
        </w:rPr>
      </w:pPr>
      <w:r w:rsidRPr="0043465B">
        <w:rPr>
          <w:color w:val="585858"/>
        </w:rPr>
        <w:t>Shin, Y., Yu, B., &amp; Greenwood-Nimmo, M. (2014). Modelling asymmetric cointegration and dynamic multipliers in a nonlinear ARDL framework. In Festschrift in honor of Peter Schmidt (pp. 281-314). Springer, New York, NY.</w:t>
      </w:r>
    </w:p>
    <w:p w:rsidR="00464BBC" w:rsidRDefault="0043465B" w:rsidP="00EB617A">
      <w:pPr>
        <w:pStyle w:val="BodyText"/>
        <w:numPr>
          <w:ilvl w:val="0"/>
          <w:numId w:val="4"/>
        </w:numPr>
        <w:ind w:left="709" w:right="665"/>
        <w:jc w:val="both"/>
      </w:pPr>
      <w:r w:rsidRPr="0043465B">
        <w:rPr>
          <w:color w:val="585858"/>
          <w:szCs w:val="22"/>
        </w:rPr>
        <w:t>Anoruo, E., &amp;Ramchander, S. (1998). Current account and fiscal deficits: Evidence from five developing economies of Asia. </w:t>
      </w:r>
      <w:r w:rsidRPr="0043465B">
        <w:rPr>
          <w:i/>
          <w:iCs/>
          <w:color w:val="585858"/>
          <w:szCs w:val="22"/>
        </w:rPr>
        <w:t>Journal of Asian Economics</w:t>
      </w:r>
      <w:r w:rsidRPr="0043465B">
        <w:rPr>
          <w:color w:val="585858"/>
          <w:szCs w:val="22"/>
        </w:rPr>
        <w:t>, </w:t>
      </w:r>
      <w:r w:rsidRPr="0043465B">
        <w:rPr>
          <w:i/>
          <w:iCs/>
          <w:color w:val="585858"/>
          <w:szCs w:val="22"/>
        </w:rPr>
        <w:t>9</w:t>
      </w:r>
      <w:r w:rsidRPr="0043465B">
        <w:rPr>
          <w:color w:val="585858"/>
          <w:szCs w:val="22"/>
        </w:rPr>
        <w:t>(3), 487-501.</w:t>
      </w:r>
    </w:p>
    <w:p w:rsidR="0043465B" w:rsidRDefault="0043465B" w:rsidP="00EB617A">
      <w:pPr>
        <w:pStyle w:val="BodyText"/>
        <w:numPr>
          <w:ilvl w:val="0"/>
          <w:numId w:val="4"/>
        </w:numPr>
        <w:ind w:left="709" w:right="665"/>
        <w:jc w:val="both"/>
        <w:rPr>
          <w:color w:val="595959" w:themeColor="text1" w:themeTint="A6"/>
        </w:rPr>
      </w:pPr>
      <w:r w:rsidRPr="0043465B">
        <w:rPr>
          <w:color w:val="595959" w:themeColor="text1" w:themeTint="A6"/>
        </w:rPr>
        <w:t>Akbaş, Y. E., Lebe, F., &amp; Zeren, F. (2014). Testing the validity of the triplet deficit hypothesis for Turkey: Asymmetric causality analysis. </w:t>
      </w:r>
      <w:r w:rsidRPr="0043465B">
        <w:rPr>
          <w:i/>
          <w:iCs/>
          <w:color w:val="595959" w:themeColor="text1" w:themeTint="A6"/>
        </w:rPr>
        <w:t>Journal of Business and Economics</w:t>
      </w:r>
      <w:r w:rsidRPr="0043465B">
        <w:rPr>
          <w:color w:val="595959" w:themeColor="text1" w:themeTint="A6"/>
        </w:rPr>
        <w:t>, </w:t>
      </w:r>
      <w:r w:rsidRPr="0043465B">
        <w:rPr>
          <w:i/>
          <w:iCs/>
          <w:color w:val="595959" w:themeColor="text1" w:themeTint="A6"/>
        </w:rPr>
        <w:t>7</w:t>
      </w:r>
      <w:r w:rsidRPr="0043465B">
        <w:rPr>
          <w:color w:val="595959" w:themeColor="text1" w:themeTint="A6"/>
        </w:rPr>
        <w:t>(14), 137-154.</w:t>
      </w:r>
    </w:p>
    <w:p w:rsidR="00024F47" w:rsidRPr="0043465B" w:rsidRDefault="00024F47" w:rsidP="00024F47">
      <w:pPr>
        <w:pStyle w:val="BodyText"/>
        <w:ind w:left="709" w:right="665"/>
        <w:jc w:val="both"/>
        <w:rPr>
          <w:color w:val="595959" w:themeColor="text1" w:themeTint="A6"/>
        </w:rPr>
      </w:pPr>
    </w:p>
    <w:p w:rsidR="00464BBC" w:rsidRDefault="006D0298">
      <w:pPr>
        <w:pStyle w:val="Heading3"/>
        <w:numPr>
          <w:ilvl w:val="0"/>
          <w:numId w:val="1"/>
        </w:numPr>
        <w:tabs>
          <w:tab w:val="left" w:pos="1758"/>
        </w:tabs>
        <w:ind w:left="1757"/>
        <w:jc w:val="left"/>
      </w:pPr>
      <w:r>
        <w:rPr>
          <w:color w:val="585858"/>
        </w:rPr>
        <w:t>Biography:</w:t>
      </w:r>
    </w:p>
    <w:p w:rsidR="00464BBC" w:rsidRDefault="00EB617A" w:rsidP="00EB617A">
      <w:pPr>
        <w:pStyle w:val="BodyText"/>
        <w:spacing w:before="1"/>
        <w:ind w:left="709" w:right="665"/>
        <w:jc w:val="both"/>
        <w:rPr>
          <w:color w:val="585858"/>
        </w:rPr>
      </w:pPr>
      <w:r>
        <w:rPr>
          <w:color w:val="585858"/>
        </w:rPr>
        <w:t>Dr. Ashok Mittal</w:t>
      </w:r>
      <w:r w:rsidRPr="00EB617A">
        <w:rPr>
          <w:color w:val="585858"/>
        </w:rPr>
        <w:t xml:space="preserve"> have around 44 years of teaching experience and 32 years of research experience. </w:t>
      </w:r>
      <w:r>
        <w:rPr>
          <w:color w:val="585858"/>
        </w:rPr>
        <w:t>He is w</w:t>
      </w:r>
      <w:r w:rsidRPr="00EB617A">
        <w:rPr>
          <w:color w:val="585858"/>
        </w:rPr>
        <w:t>orking in a reputed Central University, Aligarh Muslim University, for last 30 years and Professor of Economics for more than 21 years.</w:t>
      </w:r>
      <w:r>
        <w:rPr>
          <w:color w:val="585858"/>
        </w:rPr>
        <w:t xml:space="preserve"> He is also s</w:t>
      </w:r>
      <w:r w:rsidRPr="00EB617A">
        <w:rPr>
          <w:color w:val="585858"/>
        </w:rPr>
        <w:t>erved as Chairman, Dept of Economics for two terms</w:t>
      </w:r>
    </w:p>
    <w:p w:rsidR="00534EE0" w:rsidRDefault="00534EE0" w:rsidP="00EB617A">
      <w:pPr>
        <w:pStyle w:val="BodyText"/>
        <w:spacing w:before="1"/>
        <w:ind w:left="709" w:right="665"/>
        <w:jc w:val="both"/>
        <w:rPr>
          <w:color w:val="585858"/>
        </w:rPr>
      </w:pPr>
    </w:p>
    <w:p w:rsidR="00024F47" w:rsidRDefault="00024F47" w:rsidP="00EB617A">
      <w:pPr>
        <w:pStyle w:val="BodyText"/>
        <w:spacing w:before="1"/>
        <w:ind w:left="709" w:right="665"/>
        <w:jc w:val="both"/>
        <w:rPr>
          <w:color w:val="585858"/>
        </w:rPr>
      </w:pPr>
      <w:r>
        <w:rPr>
          <w:color w:val="585858"/>
        </w:rPr>
        <w:t xml:space="preserve">Vishal Sharma is </w:t>
      </w:r>
      <w:r w:rsidR="00534EE0">
        <w:rPr>
          <w:color w:val="585858"/>
        </w:rPr>
        <w:t>a Senior Research Fellow and currently pursuing Ph.D in the field of Economics.</w:t>
      </w:r>
    </w:p>
    <w:p w:rsidR="00534EE0" w:rsidRDefault="00534EE0" w:rsidP="00EB617A">
      <w:pPr>
        <w:pStyle w:val="BodyText"/>
        <w:spacing w:before="1"/>
        <w:ind w:left="709" w:right="665"/>
        <w:jc w:val="both"/>
      </w:pPr>
    </w:p>
    <w:p w:rsidR="00464BBC" w:rsidRDefault="006D0298">
      <w:pPr>
        <w:pStyle w:val="Heading3"/>
        <w:numPr>
          <w:ilvl w:val="0"/>
          <w:numId w:val="1"/>
        </w:numPr>
        <w:tabs>
          <w:tab w:val="left" w:pos="1757"/>
          <w:tab w:val="left" w:pos="1758"/>
        </w:tabs>
        <w:spacing w:before="1"/>
        <w:ind w:left="1757"/>
        <w:jc w:val="left"/>
      </w:pPr>
      <w:r>
        <w:rPr>
          <w:color w:val="585858"/>
        </w:rPr>
        <w:t>Presenting author</w:t>
      </w:r>
      <w:r w:rsidR="00024F47">
        <w:rPr>
          <w:color w:val="585858"/>
        </w:rPr>
        <w:t xml:space="preserve"> </w:t>
      </w:r>
      <w:r>
        <w:rPr>
          <w:color w:val="585858"/>
        </w:rPr>
        <w:t>details</w:t>
      </w:r>
    </w:p>
    <w:p w:rsidR="00464BBC" w:rsidRDefault="006D0298">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250325" cy="1028700"/>
                    </a:xfrm>
                    <a:prstGeom prst="rect">
                      <a:avLst/>
                    </a:prstGeom>
                  </pic:spPr>
                </pic:pic>
              </a:graphicData>
            </a:graphic>
          </wp:anchor>
        </w:drawing>
      </w:r>
    </w:p>
    <w:p w:rsidR="00EB617A" w:rsidRDefault="006D0298">
      <w:pPr>
        <w:pStyle w:val="BodyText"/>
        <w:spacing w:before="172"/>
        <w:ind w:left="316" w:right="4143"/>
        <w:rPr>
          <w:color w:val="585858"/>
        </w:rPr>
      </w:pPr>
      <w:r>
        <w:rPr>
          <w:color w:val="585858"/>
        </w:rPr>
        <w:t>Full Name:</w:t>
      </w:r>
      <w:r w:rsidR="00EB617A">
        <w:rPr>
          <w:color w:val="585858"/>
        </w:rPr>
        <w:t xml:space="preserve"> </w:t>
      </w:r>
      <w:r w:rsidR="00F6013B">
        <w:rPr>
          <w:color w:val="585858"/>
        </w:rPr>
        <w:t>Dr.</w:t>
      </w:r>
      <w:r w:rsidR="00EB617A">
        <w:rPr>
          <w:color w:val="585858"/>
        </w:rPr>
        <w:t xml:space="preserve">Ashok Mittal </w:t>
      </w:r>
      <w:r>
        <w:rPr>
          <w:color w:val="585858"/>
        </w:rPr>
        <w:t xml:space="preserve"> </w:t>
      </w:r>
    </w:p>
    <w:p w:rsidR="00EB617A" w:rsidRDefault="006D0298">
      <w:pPr>
        <w:pStyle w:val="BodyText"/>
        <w:spacing w:before="172"/>
        <w:ind w:left="316" w:right="4143"/>
        <w:rPr>
          <w:color w:val="585858"/>
        </w:rPr>
      </w:pPr>
      <w:r>
        <w:rPr>
          <w:color w:val="585858"/>
        </w:rPr>
        <w:t xml:space="preserve">Contact number: </w:t>
      </w:r>
      <w:r w:rsidR="00EB617A">
        <w:rPr>
          <w:color w:val="585858"/>
        </w:rPr>
        <w:t>+91- 9412596137</w:t>
      </w:r>
    </w:p>
    <w:p w:rsidR="00464BBC" w:rsidRDefault="006D0298">
      <w:pPr>
        <w:pStyle w:val="BodyText"/>
        <w:spacing w:before="172"/>
        <w:ind w:left="316" w:right="4143"/>
      </w:pPr>
      <w:r>
        <w:rPr>
          <w:color w:val="585858"/>
        </w:rPr>
        <w:t>Twitter account: Linked In account:</w:t>
      </w:r>
    </w:p>
    <w:p w:rsidR="00464BBC" w:rsidRDefault="006D0298">
      <w:pPr>
        <w:pStyle w:val="BodyText"/>
        <w:ind w:left="316"/>
      </w:pPr>
      <w:r>
        <w:rPr>
          <w:color w:val="585858"/>
        </w:rPr>
        <w:t>Session name/ number:</w:t>
      </w:r>
    </w:p>
    <w:p w:rsidR="0025441E" w:rsidRDefault="006D0298">
      <w:pPr>
        <w:pStyle w:val="BodyText"/>
        <w:ind w:left="316" w:right="1786"/>
        <w:rPr>
          <w:color w:val="585858"/>
        </w:rPr>
      </w:pPr>
      <w:r>
        <w:rPr>
          <w:color w:val="585858"/>
        </w:rPr>
        <w:t>Category: (Oral presentation</w:t>
      </w:r>
      <w:r w:rsidR="0025441E">
        <w:rPr>
          <w:color w:val="585858"/>
        </w:rPr>
        <w:t>)</w:t>
      </w:r>
    </w:p>
    <w:p w:rsidR="00464BBC" w:rsidRDefault="006D0298">
      <w:pPr>
        <w:pStyle w:val="BodyText"/>
        <w:ind w:left="316" w:right="1786"/>
        <w:rPr>
          <w:sz w:val="18"/>
        </w:rPr>
      </w:pPr>
      <w:r>
        <w:rPr>
          <w:color w:val="585858"/>
        </w:rPr>
        <w:t>Passport Number</w:t>
      </w:r>
      <w:r>
        <w:rPr>
          <w:color w:val="585858"/>
          <w:sz w:val="18"/>
        </w:rPr>
        <w:t>:</w:t>
      </w:r>
    </w:p>
    <w:p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BodyText"/>
        <w:rPr>
          <w:sz w:val="20"/>
        </w:rPr>
      </w:pPr>
    </w:p>
    <w:p w:rsidR="00464BBC" w:rsidRDefault="00464BBC">
      <w:pPr>
        <w:pStyle w:val="BodyText"/>
        <w:rPr>
          <w:sz w:val="20"/>
        </w:rPr>
      </w:pPr>
    </w:p>
    <w:p w:rsidR="00464BBC" w:rsidRDefault="00464BBC">
      <w:pPr>
        <w:pStyle w:val="BodyText"/>
        <w:spacing w:before="1"/>
        <w:rPr>
          <w:sz w:val="27"/>
        </w:rPr>
      </w:pPr>
    </w:p>
    <w:p w:rsidR="00464BBC" w:rsidRDefault="00CF2B65">
      <w:pPr>
        <w:pStyle w:val="BodyText"/>
        <w:spacing w:line="55" w:lineRule="exact"/>
        <w:ind w:left="107"/>
        <w:rPr>
          <w:sz w:val="5"/>
        </w:rPr>
      </w:pPr>
      <w:r>
        <w:rPr>
          <w:noProof/>
          <w:sz w:val="5"/>
          <w:lang w:val="en-IN" w:eastAsia="en-IN"/>
        </w:rPr>
      </w:r>
      <w:r w:rsidRPr="00CF2B65">
        <w:rPr>
          <w:noProof/>
          <w:sz w:val="5"/>
          <w:lang w:val="en-IN" w:eastAsia="en-IN"/>
        </w:rPr>
        <w:pict>
          <v:group id="Group 2" o:spid="_x0000_s1028"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none"/>
            <w10:anchorlock/>
          </v:group>
        </w:pict>
      </w:r>
    </w:p>
    <w:p w:rsidR="00464BBC" w:rsidRPr="00971A3E" w:rsidRDefault="00553F98" w:rsidP="00822921">
      <w:pPr>
        <w:spacing w:before="49"/>
        <w:ind w:right="1371"/>
        <w:jc w:val="center"/>
        <w:rPr>
          <w:sz w:val="20"/>
          <w:szCs w:val="20"/>
        </w:rPr>
      </w:pPr>
      <w:bookmarkStart w:id="0" w:name="_GoBack"/>
      <w:r>
        <w:rPr>
          <w:noProof/>
          <w:color w:val="585858"/>
          <w:sz w:val="20"/>
          <w:szCs w:val="20"/>
          <w:lang w:val="en-IN" w:eastAsia="en-IN"/>
        </w:rPr>
        <w:drawing>
          <wp:inline distT="0" distB="0" distL="0" distR="0">
            <wp:extent cx="7346094" cy="930302"/>
            <wp:effectExtent l="19050" t="0" r="7206"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59043" cy="931942"/>
                    </a:xfrm>
                    <a:prstGeom prst="rect">
                      <a:avLst/>
                    </a:prstGeom>
                  </pic:spPr>
                </pic:pic>
              </a:graphicData>
            </a:graphic>
          </wp:inline>
        </w:drawing>
      </w:r>
      <w:bookmarkEnd w:id="0"/>
    </w:p>
    <w:sectPr w:rsidR="00464BBC" w:rsidRPr="00971A3E" w:rsidSect="00C050BC">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26074"/>
    <w:multiLevelType w:val="hybridMultilevel"/>
    <w:tmpl w:val="8F1C8BCC"/>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3">
    <w:nsid w:val="6E8E7B26"/>
    <w:multiLevelType w:val="hybridMultilevel"/>
    <w:tmpl w:val="72663A6C"/>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rsids>
    <w:rsidRoot w:val="00464BBC"/>
    <w:rsid w:val="00024F47"/>
    <w:rsid w:val="000307EF"/>
    <w:rsid w:val="00050655"/>
    <w:rsid w:val="00152E98"/>
    <w:rsid w:val="0025441E"/>
    <w:rsid w:val="002A27E1"/>
    <w:rsid w:val="0043465B"/>
    <w:rsid w:val="00464BBC"/>
    <w:rsid w:val="00472291"/>
    <w:rsid w:val="00534EE0"/>
    <w:rsid w:val="00553F98"/>
    <w:rsid w:val="00575E30"/>
    <w:rsid w:val="00603C91"/>
    <w:rsid w:val="006D0298"/>
    <w:rsid w:val="00822921"/>
    <w:rsid w:val="00971A3E"/>
    <w:rsid w:val="00B644E2"/>
    <w:rsid w:val="00C050BC"/>
    <w:rsid w:val="00CF2B65"/>
    <w:rsid w:val="00D026DA"/>
    <w:rsid w:val="00E06F14"/>
    <w:rsid w:val="00EB617A"/>
    <w:rsid w:val="00F6013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050BC"/>
    <w:rPr>
      <w:rFonts w:ascii="Times New Roman" w:eastAsia="Times New Roman" w:hAnsi="Times New Roman" w:cs="Times New Roman"/>
    </w:rPr>
  </w:style>
  <w:style w:type="paragraph" w:styleId="Heading1">
    <w:name w:val="heading 1"/>
    <w:basedOn w:val="Normal"/>
    <w:uiPriority w:val="1"/>
    <w:qFormat/>
    <w:rsid w:val="00C050BC"/>
    <w:pPr>
      <w:spacing w:before="74"/>
      <w:ind w:left="594" w:right="151"/>
      <w:outlineLvl w:val="0"/>
    </w:pPr>
    <w:rPr>
      <w:b/>
      <w:bCs/>
    </w:rPr>
  </w:style>
  <w:style w:type="paragraph" w:styleId="Heading2">
    <w:name w:val="heading 2"/>
    <w:basedOn w:val="Normal"/>
    <w:uiPriority w:val="1"/>
    <w:qFormat/>
    <w:rsid w:val="00C050BC"/>
    <w:pPr>
      <w:ind w:left="1105" w:right="1370"/>
      <w:jc w:val="center"/>
      <w:outlineLvl w:val="1"/>
    </w:pPr>
    <w:rPr>
      <w:sz w:val="20"/>
      <w:szCs w:val="20"/>
    </w:rPr>
  </w:style>
  <w:style w:type="paragraph" w:styleId="Heading3">
    <w:name w:val="heading 3"/>
    <w:basedOn w:val="Normal"/>
    <w:uiPriority w:val="1"/>
    <w:qFormat/>
    <w:rsid w:val="00C050BC"/>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050BC"/>
    <w:rPr>
      <w:sz w:val="19"/>
      <w:szCs w:val="19"/>
    </w:rPr>
  </w:style>
  <w:style w:type="paragraph" w:styleId="ListParagraph">
    <w:name w:val="List Paragraph"/>
    <w:basedOn w:val="Normal"/>
    <w:uiPriority w:val="1"/>
    <w:qFormat/>
    <w:rsid w:val="00C050BC"/>
    <w:pPr>
      <w:ind w:left="1757" w:hanging="447"/>
    </w:pPr>
  </w:style>
  <w:style w:type="paragraph" w:customStyle="1" w:styleId="TableParagraph">
    <w:name w:val="Table Paragraph"/>
    <w:basedOn w:val="Normal"/>
    <w:uiPriority w:val="1"/>
    <w:qFormat/>
    <w:rsid w:val="00C050BC"/>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openaccessjournals.com/articles/major-risk-factors-for-atherosclerosis-and-metabolic-syndrome-the-uhs-12178.html"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8D73A-E14C-456F-AD7E-8C3FDB4F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lenovo</cp:lastModifiedBy>
  <cp:revision>3</cp:revision>
  <cp:lastPrinted>2019-07-24T07:50:00Z</cp:lastPrinted>
  <dcterms:created xsi:type="dcterms:W3CDTF">2019-07-24T07:52:00Z</dcterms:created>
  <dcterms:modified xsi:type="dcterms:W3CDTF">2019-07-24T07:57:00Z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