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1E2" w:rsidRPr="002B4293" w:rsidRDefault="00DB01E2" w:rsidP="00DB01E2">
      <w:pPr>
        <w:jc w:val="center"/>
        <w:rPr>
          <w:rFonts w:asciiTheme="majorBidi" w:hAnsiTheme="majorBidi" w:cstheme="majorBidi"/>
          <w:sz w:val="28"/>
          <w:szCs w:val="28"/>
        </w:rPr>
      </w:pPr>
      <w:r w:rsidRPr="002B4293">
        <w:rPr>
          <w:rFonts w:asciiTheme="majorBidi" w:hAnsiTheme="majorBidi" w:cstheme="majorBidi"/>
          <w:b/>
          <w:bCs/>
          <w:sz w:val="28"/>
          <w:szCs w:val="28"/>
        </w:rPr>
        <w:t xml:space="preserve">Chiral characterization of </w:t>
      </w:r>
      <w:r>
        <w:rPr>
          <w:rFonts w:asciiTheme="majorBidi" w:hAnsiTheme="majorBidi" w:cstheme="majorBidi"/>
          <w:b/>
          <w:bCs/>
          <w:sz w:val="28"/>
          <w:szCs w:val="28"/>
        </w:rPr>
        <w:t>materials</w:t>
      </w:r>
      <w:r w:rsidRPr="002B4293">
        <w:rPr>
          <w:rFonts w:asciiTheme="majorBidi" w:hAnsiTheme="majorBidi" w:cstheme="majorBidi"/>
          <w:b/>
          <w:bCs/>
          <w:sz w:val="28"/>
          <w:szCs w:val="28"/>
        </w:rPr>
        <w:t xml:space="preserve"> using Raman spectroscopy</w:t>
      </w:r>
    </w:p>
    <w:p w:rsidR="00AE3E37" w:rsidRDefault="00DB01E2" w:rsidP="001E7C8C">
      <w:pPr>
        <w:pStyle w:val="BodyText"/>
        <w:spacing w:before="73" w:line="198" w:lineRule="exact"/>
        <w:ind w:left="100" w:right="5987"/>
        <w:rPr>
          <w:rFonts w:ascii="Arial"/>
          <w:sz w:val="20"/>
        </w:rPr>
      </w:pPr>
      <w:r>
        <w:rPr>
          <w:rFonts w:ascii="Arial"/>
        </w:rPr>
        <w:t>Hagit Aviv</w:t>
      </w:r>
      <w:r w:rsidR="005973B9">
        <w:rPr>
          <w:rFonts w:ascii="Arial"/>
        </w:rPr>
        <w:t xml:space="preserve">, RN PhD, </w:t>
      </w:r>
      <w:r>
        <w:rPr>
          <w:rFonts w:ascii="Arial"/>
        </w:rPr>
        <w:t>Bar-</w:t>
      </w:r>
      <w:proofErr w:type="spellStart"/>
      <w:r>
        <w:rPr>
          <w:rFonts w:ascii="Arial"/>
        </w:rPr>
        <w:t>Ilan</w:t>
      </w:r>
      <w:proofErr w:type="spellEnd"/>
      <w:r>
        <w:rPr>
          <w:rFonts w:ascii="Arial"/>
        </w:rPr>
        <w:t xml:space="preserve"> University</w:t>
      </w:r>
      <w:r w:rsidR="005973B9">
        <w:rPr>
          <w:rFonts w:ascii="Arial"/>
        </w:rPr>
        <w:t xml:space="preserve">, </w:t>
      </w:r>
      <w:r>
        <w:rPr>
          <w:rFonts w:ascii="Arial"/>
        </w:rPr>
        <w:t>Israel</w:t>
      </w:r>
      <w:r w:rsidR="005973B9">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DB01E2">
      <w:pPr>
        <w:pStyle w:val="Heading3"/>
        <w:spacing w:before="147"/>
        <w:jc w:val="both"/>
      </w:pPr>
      <w:r>
        <w:rPr>
          <w:color w:val="BF5A14"/>
        </w:rPr>
        <w:lastRenderedPageBreak/>
        <w:t>Abstract</w:t>
      </w:r>
      <w:r w:rsidR="00404E5B">
        <w:rPr>
          <w:color w:val="BF5A14"/>
        </w:rPr>
        <w:t xml:space="preserve"> </w:t>
      </w:r>
    </w:p>
    <w:p w:rsidR="00DB01E2" w:rsidRPr="00DB01E2" w:rsidRDefault="00DB01E2" w:rsidP="00DB01E2">
      <w:pPr>
        <w:ind w:firstLine="720"/>
        <w:jc w:val="both"/>
        <w:rPr>
          <w:rFonts w:asciiTheme="majorBidi" w:hAnsiTheme="majorBidi" w:cstheme="majorBidi"/>
        </w:rPr>
      </w:pPr>
      <w:r w:rsidRPr="00DB01E2">
        <w:rPr>
          <w:rFonts w:asciiTheme="majorBidi" w:hAnsiTheme="majorBidi" w:cstheme="majorBidi"/>
          <w:color w:val="131413"/>
        </w:rPr>
        <w:t xml:space="preserve">Recently, </w:t>
      </w:r>
      <w:r w:rsidRPr="00DB01E2">
        <w:rPr>
          <w:rFonts w:asciiTheme="majorBidi" w:eastAsia="Times New Roman" w:hAnsiTheme="majorBidi" w:cstheme="majorBidi"/>
          <w:color w:val="000000" w:themeColor="text1"/>
        </w:rPr>
        <w:t xml:space="preserve">developments in optical filters have enabled the facile use of Raman spectroscopy to detect low-frequency vibrational (LFV) modes. </w:t>
      </w:r>
      <w:r w:rsidRPr="00DB01E2">
        <w:rPr>
          <w:rFonts w:asciiTheme="majorBidi" w:hAnsiTheme="majorBidi" w:cstheme="majorBidi"/>
          <w:color w:val="131413"/>
        </w:rPr>
        <w:t xml:space="preserve">We presented a new method for differentiating racemic from </w:t>
      </w:r>
      <w:proofErr w:type="spellStart"/>
      <w:r w:rsidRPr="00DB01E2">
        <w:rPr>
          <w:rFonts w:asciiTheme="majorBidi" w:hAnsiTheme="majorBidi" w:cstheme="majorBidi"/>
          <w:color w:val="131413"/>
        </w:rPr>
        <w:t>enantiopure</w:t>
      </w:r>
      <w:proofErr w:type="spellEnd"/>
      <w:r w:rsidRPr="00DB01E2">
        <w:rPr>
          <w:rFonts w:asciiTheme="majorBidi" w:hAnsiTheme="majorBidi" w:cstheme="majorBidi"/>
          <w:color w:val="131413"/>
        </w:rPr>
        <w:t xml:space="preserve"> crystals by using,</w:t>
      </w:r>
      <w:r w:rsidRPr="00DB01E2">
        <w:rPr>
          <w:rFonts w:asciiTheme="majorBidi" w:hAnsiTheme="majorBidi" w:cstheme="majorBidi"/>
        </w:rPr>
        <w:t xml:space="preserve"> for the first time, Raman spectroscopy to characterize the LFV modes of crystalline organic materials composed of chiral molecules. The LF-</w:t>
      </w:r>
      <w:r w:rsidRPr="00DB01E2">
        <w:rPr>
          <w:rFonts w:asciiTheme="majorBidi" w:eastAsia="Times New Roman" w:hAnsiTheme="majorBidi" w:cstheme="majorBidi"/>
        </w:rPr>
        <w:t xml:space="preserve">Raman spectra of </w:t>
      </w:r>
      <w:r w:rsidRPr="00DB01E2">
        <w:rPr>
          <w:rFonts w:asciiTheme="majorBidi" w:hAnsiTheme="majorBidi" w:cstheme="majorBidi"/>
        </w:rPr>
        <w:t xml:space="preserve">racemic and </w:t>
      </w:r>
      <w:proofErr w:type="spellStart"/>
      <w:r w:rsidRPr="00DB01E2">
        <w:rPr>
          <w:rFonts w:asciiTheme="majorBidi" w:hAnsiTheme="majorBidi" w:cstheme="majorBidi"/>
        </w:rPr>
        <w:t>enantiopure</w:t>
      </w:r>
      <w:proofErr w:type="spellEnd"/>
      <w:r w:rsidRPr="00DB01E2">
        <w:rPr>
          <w:rFonts w:asciiTheme="majorBidi" w:hAnsiTheme="majorBidi" w:cstheme="majorBidi"/>
        </w:rPr>
        <w:t xml:space="preserve"> crystals exhibit a significant variation, which </w:t>
      </w:r>
      <w:r w:rsidRPr="00DB01E2">
        <w:rPr>
          <w:rStyle w:val="shorttext"/>
          <w:rFonts w:asciiTheme="majorBidi" w:hAnsiTheme="majorBidi" w:cstheme="majorBidi"/>
          <w:lang w:val="en"/>
        </w:rPr>
        <w:t>we attribute</w:t>
      </w:r>
      <w:r w:rsidRPr="00DB01E2">
        <w:rPr>
          <w:rFonts w:asciiTheme="majorBidi" w:hAnsiTheme="majorBidi" w:cstheme="majorBidi"/>
        </w:rPr>
        <w:t xml:space="preserve"> to different hydrogen-bond networks in the chiral crystal structures. Across a representative set of amino acids, we observed that when comparing </w:t>
      </w:r>
      <w:r w:rsidRPr="00DB01E2">
        <w:rPr>
          <w:rFonts w:asciiTheme="majorBidi" w:hAnsiTheme="majorBidi" w:cstheme="majorBidi"/>
          <w:color w:val="131413"/>
        </w:rPr>
        <w:t xml:space="preserve">racemic versus </w:t>
      </w:r>
      <w:proofErr w:type="spellStart"/>
      <w:r w:rsidRPr="00DB01E2">
        <w:rPr>
          <w:rFonts w:asciiTheme="majorBidi" w:hAnsiTheme="majorBidi" w:cstheme="majorBidi"/>
          <w:color w:val="131413"/>
        </w:rPr>
        <w:t>enantiopure</w:t>
      </w:r>
      <w:proofErr w:type="spellEnd"/>
      <w:r w:rsidRPr="00DB01E2">
        <w:rPr>
          <w:rFonts w:asciiTheme="majorBidi" w:hAnsiTheme="majorBidi" w:cstheme="majorBidi"/>
          <w:color w:val="131413"/>
        </w:rPr>
        <w:t xml:space="preserve"> crystals,</w:t>
      </w:r>
      <w:r w:rsidRPr="00DB01E2">
        <w:rPr>
          <w:rFonts w:asciiTheme="majorBidi" w:hAnsiTheme="majorBidi" w:cstheme="majorBidi"/>
        </w:rPr>
        <w:t xml:space="preserve"> the available LFV modes and their relative scattering intensity are strong functions of side chain polarity. </w:t>
      </w:r>
      <w:r w:rsidRPr="00DB01E2">
        <w:rPr>
          <w:rFonts w:asciiTheme="majorBidi" w:eastAsia="Times New Roman" w:hAnsiTheme="majorBidi" w:cstheme="majorBidi"/>
          <w:color w:val="000000" w:themeColor="text1"/>
        </w:rPr>
        <w:t xml:space="preserve">Thus, LF-Raman can be used as a complementary method to the currently used methods for characterizing crystal’s chirality. </w:t>
      </w:r>
    </w:p>
    <w:p w:rsidR="00DB01E2" w:rsidRPr="00DB01E2" w:rsidRDefault="00DB01E2" w:rsidP="006A6042">
      <w:pPr>
        <w:ind w:firstLine="720"/>
        <w:jc w:val="both"/>
        <w:rPr>
          <w:rFonts w:asciiTheme="majorBidi" w:hAnsiTheme="majorBidi" w:cstheme="majorBidi"/>
        </w:rPr>
      </w:pPr>
      <w:r w:rsidRPr="00DB01E2">
        <w:rPr>
          <w:rFonts w:asciiTheme="majorBidi" w:hAnsiTheme="majorBidi" w:cstheme="majorBidi"/>
        </w:rPr>
        <w:t xml:space="preserve">The pharmaceutical industry is in need of new techniques to identify the chirality of solids due to regulatory and safety concerns regarding the biological activity of enantiomers. Since we found the LF-Raman spectra of racemic and </w:t>
      </w:r>
      <w:proofErr w:type="spellStart"/>
      <w:r w:rsidRPr="00DB01E2">
        <w:rPr>
          <w:rFonts w:asciiTheme="majorBidi" w:hAnsiTheme="majorBidi" w:cstheme="majorBidi"/>
        </w:rPr>
        <w:t>enantiopure</w:t>
      </w:r>
      <w:proofErr w:type="spellEnd"/>
      <w:r w:rsidRPr="00DB01E2">
        <w:rPr>
          <w:rFonts w:asciiTheme="majorBidi" w:hAnsiTheme="majorBidi" w:cstheme="majorBidi"/>
        </w:rPr>
        <w:t xml:space="preserve"> crystals are significantly different, we set out to demonstrate the capabilities of our method for chiral purity investigation. For that we used a model system based on chiral crystals of </w:t>
      </w:r>
      <w:proofErr w:type="spellStart"/>
      <w:r w:rsidRPr="00DB01E2">
        <w:rPr>
          <w:rFonts w:asciiTheme="majorBidi" w:hAnsiTheme="majorBidi" w:cstheme="majorBidi"/>
        </w:rPr>
        <w:t>enantiopure</w:t>
      </w:r>
      <w:proofErr w:type="spellEnd"/>
      <w:r w:rsidRPr="00DB01E2">
        <w:rPr>
          <w:rFonts w:asciiTheme="majorBidi" w:hAnsiTheme="majorBidi" w:cstheme="majorBidi"/>
        </w:rPr>
        <w:t>, racemic crystals and their mixtures in various ratios. Using this method, we were able to identify small amounts, as low as 1% w/w, of an enantiomer in racemic crystals. Comparing the achieved sensitivity for enantiomeric excess measurement in chiral crystals to that of circular dichroism and X-ray diffraction measurements showed that LF-Raman attains high sensitivity in solids that is similar to chiral optical methods used for solutions. Overall, our proposed approach of using Raman spectroscopy for determining enantiomeric excess in crystals is simple, fast, and offers a high degree of chiral sensitivity.</w:t>
      </w:r>
      <w:r w:rsidR="00487DA1">
        <w:rPr>
          <w:rFonts w:asciiTheme="majorBidi" w:hAnsiTheme="majorBidi" w:cstheme="majorBidi"/>
        </w:rPr>
        <w:t xml:space="preserve"> </w:t>
      </w:r>
      <w:bookmarkStart w:id="0" w:name="_GoBack"/>
      <w:bookmarkEnd w:id="0"/>
    </w:p>
    <w:p w:rsidR="00AE3E37" w:rsidRDefault="00A9710C">
      <w:pPr>
        <w:pStyle w:val="Heading3"/>
        <w:spacing w:before="74"/>
      </w:pPr>
      <w:r>
        <w:rPr>
          <w:b w:val="0"/>
        </w:rPr>
        <w:br w:type="column"/>
      </w:r>
      <w:r>
        <w:rPr>
          <w:color w:val="BF5A14"/>
        </w:rPr>
        <w:lastRenderedPageBreak/>
        <w:t>Image</w:t>
      </w:r>
    </w:p>
    <w:p w:rsidR="00AE3E37" w:rsidRDefault="001E7C8C">
      <w:pPr>
        <w:pStyle w:val="BodyText"/>
        <w:spacing w:before="2"/>
        <w:rPr>
          <w:rFonts w:ascii="Arial"/>
          <w:b/>
          <w:sz w:val="16"/>
        </w:rPr>
      </w:pPr>
      <w:r w:rsidRPr="001E7C8C">
        <w:rPr>
          <w:noProof/>
          <w:lang w:bidi="he-IL"/>
        </w:rPr>
        <w:drawing>
          <wp:inline distT="0" distB="0" distL="0" distR="0">
            <wp:extent cx="3165036" cy="2910254"/>
            <wp:effectExtent l="0" t="0" r="0" b="4445"/>
            <wp:docPr id="2" name="Picture 2" descr="C:\Users\ch487\Desktop\Research documents\Old projects\Sensitivity in chirality\Analytical chemistry\TOC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487\Desktop\Research documents\Old projects\Sensitivity in chirality\Analytical chemistry\TOC1.tif"/>
                    <pic:cNvPicPr>
                      <a:picLocks noChangeAspect="1" noChangeArrowheads="1"/>
                    </pic:cNvPicPr>
                  </pic:nvPicPr>
                  <pic:blipFill rotWithShape="1">
                    <a:blip r:embed="rId10">
                      <a:extLst>
                        <a:ext uri="{28A0092B-C50C-407E-A947-70E740481C1C}">
                          <a14:useLocalDpi xmlns:a14="http://schemas.microsoft.com/office/drawing/2010/main" val="0"/>
                        </a:ext>
                      </a:extLst>
                    </a:blip>
                    <a:srcRect t="6018" b="2031"/>
                    <a:stretch/>
                  </pic:blipFill>
                  <pic:spPr bwMode="auto">
                    <a:xfrm>
                      <a:off x="0" y="0"/>
                      <a:ext cx="3165475" cy="2910657"/>
                    </a:xfrm>
                    <a:prstGeom prst="rect">
                      <a:avLst/>
                    </a:prstGeom>
                    <a:noFill/>
                    <a:ln>
                      <a:noFill/>
                    </a:ln>
                    <a:extLst>
                      <a:ext uri="{53640926-AAD7-44D8-BBD7-CCE9431645EC}">
                        <a14:shadowObscured xmlns:a14="http://schemas.microsoft.com/office/drawing/2010/main"/>
                      </a:ext>
                    </a:extLst>
                  </pic:spPr>
                </pic:pic>
              </a:graphicData>
            </a:graphic>
          </wp:inline>
        </w:drawing>
      </w:r>
    </w:p>
    <w:p w:rsidR="00487DA1" w:rsidRPr="00487DA1" w:rsidRDefault="00487DA1" w:rsidP="00487DA1">
      <w:pPr>
        <w:spacing w:line="204" w:lineRule="exact"/>
        <w:rPr>
          <w:rFonts w:ascii="Arial"/>
          <w:b/>
          <w:sz w:val="20"/>
        </w:rPr>
      </w:pPr>
      <w:r w:rsidRPr="00EB45AC">
        <w:rPr>
          <w:rFonts w:ascii="Arial"/>
          <w:b/>
          <w:sz w:val="18"/>
          <w:szCs w:val="18"/>
        </w:rPr>
        <w:t xml:space="preserve">Figure 1: </w:t>
      </w:r>
      <w:r w:rsidRPr="00EB45AC">
        <w:rPr>
          <w:rFonts w:asciiTheme="majorBidi" w:hAnsiTheme="majorBidi" w:cstheme="majorBidi"/>
          <w:b/>
          <w:bCs/>
          <w:sz w:val="18"/>
          <w:szCs w:val="18"/>
        </w:rPr>
        <w:t>LF-Raman spectra of L-tartaric acid and DL-tartaric acid crystals</w:t>
      </w:r>
      <w:r w:rsidRPr="00EB45AC">
        <w:rPr>
          <w:rFonts w:asciiTheme="majorBidi" w:hAnsiTheme="majorBidi" w:cstheme="majorBidi"/>
          <w:b/>
          <w:bCs/>
          <w:sz w:val="18"/>
          <w:szCs w:val="18"/>
        </w:rPr>
        <w:t xml:space="preserve"> (bottom spectra) and</w:t>
      </w:r>
      <w:r w:rsidRPr="00EB45AC">
        <w:rPr>
          <w:rFonts w:asciiTheme="majorBidi" w:hAnsiTheme="majorBidi" w:cstheme="majorBidi"/>
          <w:b/>
          <w:bCs/>
          <w:sz w:val="18"/>
          <w:szCs w:val="18"/>
        </w:rPr>
        <w:t xml:space="preserve"> racemic crystal contaminated with 3 and 10 % of L-tartaric acid</w:t>
      </w:r>
      <w:r w:rsidRPr="00EB45AC">
        <w:rPr>
          <w:rFonts w:asciiTheme="majorBidi" w:hAnsiTheme="majorBidi" w:cstheme="majorBidi"/>
          <w:b/>
          <w:bCs/>
          <w:sz w:val="18"/>
          <w:szCs w:val="18"/>
        </w:rPr>
        <w:t xml:space="preserve"> (top spectra) demonstrating high sensitivity of LF-Raman in chiral purity investigation</w:t>
      </w:r>
      <w:r>
        <w:rPr>
          <w:rFonts w:asciiTheme="majorBidi" w:hAnsiTheme="majorBidi" w:cstheme="majorBidi"/>
          <w:b/>
          <w:bCs/>
          <w:sz w:val="20"/>
          <w:szCs w:val="20"/>
        </w:rPr>
        <w:t>.</w:t>
      </w:r>
    </w:p>
    <w:p w:rsidR="005973B9" w:rsidRDefault="005973B9" w:rsidP="00875D77">
      <w:pPr>
        <w:spacing w:line="204" w:lineRule="exact"/>
        <w:rPr>
          <w:rFonts w:ascii="Arial"/>
          <w:b/>
          <w:sz w:val="20"/>
        </w:rPr>
      </w:pPr>
      <w:r>
        <w:rPr>
          <w:rFonts w:ascii="Arial"/>
          <w:b/>
          <w:color w:val="BF5A14"/>
          <w:sz w:val="20"/>
        </w:rPr>
        <w:br/>
        <w:t>Recent Publications</w:t>
      </w:r>
    </w:p>
    <w:p w:rsidR="00487DA1" w:rsidRPr="00487DA1" w:rsidRDefault="00487DA1" w:rsidP="00487DA1">
      <w:pPr>
        <w:autoSpaceDE w:val="0"/>
        <w:autoSpaceDN w:val="0"/>
        <w:adjustRightInd w:val="0"/>
        <w:ind w:left="640" w:hanging="640"/>
        <w:rPr>
          <w:rFonts w:cs="Times New Roman"/>
          <w:noProof/>
          <w:sz w:val="18"/>
          <w:szCs w:val="18"/>
        </w:rPr>
      </w:pPr>
      <w:r w:rsidRPr="00487DA1">
        <w:rPr>
          <w:sz w:val="18"/>
          <w:szCs w:val="18"/>
        </w:rPr>
        <w:fldChar w:fldCharType="begin" w:fldLock="1"/>
      </w:r>
      <w:r w:rsidRPr="00487DA1">
        <w:rPr>
          <w:sz w:val="18"/>
          <w:szCs w:val="18"/>
        </w:rPr>
        <w:instrText xml:space="preserve">ADDIN Mendeley Bibliography CSL_BIBLIOGRAPHY </w:instrText>
      </w:r>
      <w:r w:rsidRPr="00487DA1">
        <w:rPr>
          <w:sz w:val="18"/>
          <w:szCs w:val="18"/>
        </w:rPr>
        <w:fldChar w:fldCharType="separate"/>
      </w:r>
      <w:r w:rsidRPr="00487DA1">
        <w:rPr>
          <w:rFonts w:cs="Times New Roman"/>
          <w:noProof/>
          <w:sz w:val="18"/>
          <w:szCs w:val="18"/>
        </w:rPr>
        <w:t>1.</w:t>
      </w:r>
      <w:r w:rsidRPr="00487DA1">
        <w:rPr>
          <w:rFonts w:cs="Times New Roman"/>
          <w:noProof/>
          <w:sz w:val="18"/>
          <w:szCs w:val="18"/>
        </w:rPr>
        <w:tab/>
        <w:t xml:space="preserve">Aviv, H., Nemtsov, I., Mastai, Y. &amp; Tischler, Y. R. Characterization of Crystal Chirality in Amino Acids Using Low-Frequency Raman Spectroscopy. </w:t>
      </w:r>
      <w:r w:rsidRPr="00487DA1">
        <w:rPr>
          <w:rFonts w:cs="Times New Roman"/>
          <w:i/>
          <w:iCs/>
          <w:noProof/>
          <w:sz w:val="18"/>
          <w:szCs w:val="18"/>
        </w:rPr>
        <w:t>J. Phys. Chem. A</w:t>
      </w:r>
      <w:r w:rsidRPr="00487DA1">
        <w:rPr>
          <w:rFonts w:cs="Times New Roman"/>
          <w:noProof/>
          <w:sz w:val="18"/>
          <w:szCs w:val="18"/>
        </w:rPr>
        <w:t xml:space="preserve"> </w:t>
      </w:r>
      <w:r w:rsidRPr="00487DA1">
        <w:rPr>
          <w:rFonts w:cs="Times New Roman"/>
          <w:b/>
          <w:bCs/>
          <w:noProof/>
          <w:sz w:val="18"/>
          <w:szCs w:val="18"/>
        </w:rPr>
        <w:t>121</w:t>
      </w:r>
      <w:r w:rsidRPr="00487DA1">
        <w:rPr>
          <w:rFonts w:cs="Times New Roman"/>
          <w:noProof/>
          <w:sz w:val="18"/>
          <w:szCs w:val="18"/>
        </w:rPr>
        <w:t>, 7882–7888 (2017).</w:t>
      </w:r>
    </w:p>
    <w:p w:rsidR="00487DA1" w:rsidRPr="00487DA1" w:rsidRDefault="00487DA1" w:rsidP="00487DA1">
      <w:pPr>
        <w:autoSpaceDE w:val="0"/>
        <w:autoSpaceDN w:val="0"/>
        <w:adjustRightInd w:val="0"/>
        <w:ind w:left="640" w:hanging="640"/>
        <w:rPr>
          <w:rFonts w:cs="Times New Roman"/>
          <w:noProof/>
          <w:sz w:val="18"/>
          <w:szCs w:val="18"/>
        </w:rPr>
      </w:pPr>
      <w:r w:rsidRPr="00487DA1">
        <w:rPr>
          <w:rFonts w:cs="Times New Roman"/>
          <w:noProof/>
          <w:sz w:val="18"/>
          <w:szCs w:val="18"/>
        </w:rPr>
        <w:t>2.</w:t>
      </w:r>
      <w:r w:rsidRPr="00487DA1">
        <w:rPr>
          <w:rFonts w:cs="Times New Roman"/>
          <w:noProof/>
          <w:sz w:val="18"/>
          <w:szCs w:val="18"/>
        </w:rPr>
        <w:tab/>
        <w:t xml:space="preserve">Nemtsov, I., Mastai, Y., Tischler, Y. R. &amp; Aviv, H. Chiral Purity of Crystals Using Low-Frequency Raman Spectroscopy. </w:t>
      </w:r>
      <w:r w:rsidRPr="00487DA1">
        <w:rPr>
          <w:rFonts w:cs="Times New Roman"/>
          <w:i/>
          <w:iCs/>
          <w:noProof/>
          <w:sz w:val="18"/>
          <w:szCs w:val="18"/>
        </w:rPr>
        <w:t>ChemPhysChem</w:t>
      </w:r>
      <w:r w:rsidRPr="00487DA1">
        <w:rPr>
          <w:rFonts w:cs="Times New Roman"/>
          <w:noProof/>
          <w:sz w:val="18"/>
          <w:szCs w:val="18"/>
        </w:rPr>
        <w:t xml:space="preserve"> </w:t>
      </w:r>
      <w:r w:rsidRPr="00487DA1">
        <w:rPr>
          <w:rFonts w:cs="Times New Roman"/>
          <w:b/>
          <w:bCs/>
          <w:noProof/>
          <w:sz w:val="18"/>
          <w:szCs w:val="18"/>
        </w:rPr>
        <w:t>19</w:t>
      </w:r>
      <w:r w:rsidRPr="00487DA1">
        <w:rPr>
          <w:rFonts w:cs="Times New Roman"/>
          <w:noProof/>
          <w:sz w:val="18"/>
          <w:szCs w:val="18"/>
        </w:rPr>
        <w:t>, 3116–3121 (2018).</w:t>
      </w:r>
    </w:p>
    <w:p w:rsidR="00487DA1" w:rsidRPr="00487DA1" w:rsidRDefault="00487DA1" w:rsidP="00487DA1">
      <w:pPr>
        <w:autoSpaceDE w:val="0"/>
        <w:autoSpaceDN w:val="0"/>
        <w:adjustRightInd w:val="0"/>
        <w:ind w:left="640" w:hanging="640"/>
        <w:rPr>
          <w:rFonts w:cs="Times New Roman"/>
          <w:noProof/>
          <w:sz w:val="18"/>
          <w:szCs w:val="18"/>
        </w:rPr>
      </w:pPr>
      <w:r w:rsidRPr="00487DA1">
        <w:rPr>
          <w:rFonts w:cs="Times New Roman"/>
          <w:noProof/>
          <w:sz w:val="18"/>
          <w:szCs w:val="18"/>
        </w:rPr>
        <w:t>3.</w:t>
      </w:r>
      <w:r w:rsidRPr="00487DA1">
        <w:rPr>
          <w:rFonts w:cs="Times New Roman"/>
          <w:noProof/>
          <w:sz w:val="18"/>
          <w:szCs w:val="18"/>
        </w:rPr>
        <w:tab/>
        <w:t xml:space="preserve">Hoshina, H. </w:t>
      </w:r>
      <w:r w:rsidRPr="00487DA1">
        <w:rPr>
          <w:rFonts w:cs="Times New Roman"/>
          <w:i/>
          <w:iCs/>
          <w:noProof/>
          <w:sz w:val="18"/>
          <w:szCs w:val="18"/>
        </w:rPr>
        <w:t>et al.</w:t>
      </w:r>
      <w:r w:rsidRPr="00487DA1">
        <w:rPr>
          <w:rFonts w:cs="Times New Roman"/>
          <w:noProof/>
          <w:sz w:val="18"/>
          <w:szCs w:val="18"/>
        </w:rPr>
        <w:t xml:space="preserve"> Terahertz spectroscopy in polymer research: Assignment of intermolecular vibrational modes and structural characterization of poly(3-hydroxybutyrate). </w:t>
      </w:r>
      <w:r w:rsidRPr="00487DA1">
        <w:rPr>
          <w:rFonts w:cs="Times New Roman"/>
          <w:i/>
          <w:iCs/>
          <w:noProof/>
          <w:sz w:val="18"/>
          <w:szCs w:val="18"/>
        </w:rPr>
        <w:t>IEEE Trans. Terahertz Sci. Technol.</w:t>
      </w:r>
      <w:r w:rsidRPr="00487DA1">
        <w:rPr>
          <w:rFonts w:cs="Times New Roman"/>
          <w:noProof/>
          <w:sz w:val="18"/>
          <w:szCs w:val="18"/>
        </w:rPr>
        <w:t xml:space="preserve"> </w:t>
      </w:r>
      <w:r w:rsidRPr="00487DA1">
        <w:rPr>
          <w:rFonts w:cs="Times New Roman"/>
          <w:b/>
          <w:bCs/>
          <w:noProof/>
          <w:sz w:val="18"/>
          <w:szCs w:val="18"/>
        </w:rPr>
        <w:t>3</w:t>
      </w:r>
      <w:r w:rsidRPr="00487DA1">
        <w:rPr>
          <w:rFonts w:cs="Times New Roman"/>
          <w:noProof/>
          <w:sz w:val="18"/>
          <w:szCs w:val="18"/>
        </w:rPr>
        <w:t>, 248–258 (2013).</w:t>
      </w:r>
    </w:p>
    <w:p w:rsidR="00487DA1" w:rsidRPr="00487DA1" w:rsidRDefault="00487DA1" w:rsidP="00487DA1">
      <w:pPr>
        <w:autoSpaceDE w:val="0"/>
        <w:autoSpaceDN w:val="0"/>
        <w:adjustRightInd w:val="0"/>
        <w:ind w:left="640" w:hanging="640"/>
        <w:rPr>
          <w:rFonts w:cs="Times New Roman"/>
          <w:noProof/>
          <w:sz w:val="18"/>
          <w:szCs w:val="18"/>
        </w:rPr>
      </w:pPr>
      <w:r w:rsidRPr="00487DA1">
        <w:rPr>
          <w:rFonts w:cs="Times New Roman"/>
          <w:noProof/>
          <w:sz w:val="18"/>
          <w:szCs w:val="18"/>
        </w:rPr>
        <w:t>4.</w:t>
      </w:r>
      <w:r w:rsidRPr="00487DA1">
        <w:rPr>
          <w:rFonts w:cs="Times New Roman"/>
          <w:noProof/>
          <w:sz w:val="18"/>
          <w:szCs w:val="18"/>
        </w:rPr>
        <w:tab/>
        <w:t xml:space="preserve">Takahashi, M. Terahertz Vibrations and Hydrogen-Bonded Networks in Crystals. </w:t>
      </w:r>
      <w:r w:rsidRPr="00487DA1">
        <w:rPr>
          <w:rFonts w:cs="Times New Roman"/>
          <w:i/>
          <w:iCs/>
          <w:noProof/>
          <w:sz w:val="18"/>
          <w:szCs w:val="18"/>
        </w:rPr>
        <w:t>Crystals</w:t>
      </w:r>
      <w:r w:rsidRPr="00487DA1">
        <w:rPr>
          <w:rFonts w:cs="Times New Roman"/>
          <w:noProof/>
          <w:sz w:val="18"/>
          <w:szCs w:val="18"/>
        </w:rPr>
        <w:t xml:space="preserve"> </w:t>
      </w:r>
      <w:r w:rsidRPr="00487DA1">
        <w:rPr>
          <w:rFonts w:cs="Times New Roman"/>
          <w:b/>
          <w:bCs/>
          <w:noProof/>
          <w:sz w:val="18"/>
          <w:szCs w:val="18"/>
        </w:rPr>
        <w:t>4</w:t>
      </w:r>
      <w:r w:rsidRPr="00487DA1">
        <w:rPr>
          <w:rFonts w:cs="Times New Roman"/>
          <w:noProof/>
          <w:sz w:val="18"/>
          <w:szCs w:val="18"/>
        </w:rPr>
        <w:t>, 74–103 (2014).</w:t>
      </w:r>
    </w:p>
    <w:p w:rsidR="00487DA1" w:rsidRPr="00487DA1" w:rsidRDefault="00487DA1" w:rsidP="00487DA1">
      <w:pPr>
        <w:autoSpaceDE w:val="0"/>
        <w:autoSpaceDN w:val="0"/>
        <w:adjustRightInd w:val="0"/>
        <w:ind w:left="640" w:hanging="640"/>
        <w:rPr>
          <w:noProof/>
          <w:sz w:val="18"/>
          <w:szCs w:val="18"/>
        </w:rPr>
      </w:pPr>
      <w:r w:rsidRPr="00487DA1">
        <w:rPr>
          <w:rFonts w:cs="Times New Roman"/>
          <w:noProof/>
          <w:sz w:val="18"/>
          <w:szCs w:val="18"/>
        </w:rPr>
        <w:t>5.</w:t>
      </w:r>
      <w:r w:rsidRPr="00487DA1">
        <w:rPr>
          <w:rFonts w:cs="Times New Roman"/>
          <w:noProof/>
          <w:sz w:val="18"/>
          <w:szCs w:val="18"/>
        </w:rPr>
        <w:tab/>
        <w:t xml:space="preserve">Saito, S. </w:t>
      </w:r>
      <w:r w:rsidRPr="00487DA1">
        <w:rPr>
          <w:rFonts w:cs="Times New Roman"/>
          <w:i/>
          <w:iCs/>
          <w:noProof/>
          <w:sz w:val="18"/>
          <w:szCs w:val="18"/>
        </w:rPr>
        <w:t>et al.</w:t>
      </w:r>
      <w:r w:rsidRPr="00487DA1">
        <w:rPr>
          <w:rFonts w:cs="Times New Roman"/>
          <w:noProof/>
          <w:sz w:val="18"/>
          <w:szCs w:val="18"/>
        </w:rPr>
        <w:t xml:space="preserve"> Terahertz phonon modes of an intermolecular network of hydrogen bonds in an anhydrous β-d-glucopyranose crystal. </w:t>
      </w:r>
      <w:r w:rsidRPr="00487DA1">
        <w:rPr>
          <w:rFonts w:cs="Times New Roman"/>
          <w:i/>
          <w:iCs/>
          <w:noProof/>
          <w:sz w:val="18"/>
          <w:szCs w:val="18"/>
        </w:rPr>
        <w:t>Chem. Phys. Lett.</w:t>
      </w:r>
      <w:r w:rsidRPr="00487DA1">
        <w:rPr>
          <w:rFonts w:cs="Times New Roman"/>
          <w:noProof/>
          <w:sz w:val="18"/>
          <w:szCs w:val="18"/>
        </w:rPr>
        <w:t xml:space="preserve"> </w:t>
      </w:r>
      <w:r w:rsidRPr="00487DA1">
        <w:rPr>
          <w:rFonts w:cs="Times New Roman"/>
          <w:b/>
          <w:bCs/>
          <w:noProof/>
          <w:sz w:val="18"/>
          <w:szCs w:val="18"/>
        </w:rPr>
        <w:t>423</w:t>
      </w:r>
      <w:r w:rsidRPr="00487DA1">
        <w:rPr>
          <w:rFonts w:cs="Times New Roman"/>
          <w:noProof/>
          <w:sz w:val="18"/>
          <w:szCs w:val="18"/>
        </w:rPr>
        <w:t>, 439–444 (2006).</w:t>
      </w:r>
    </w:p>
    <w:p w:rsidR="00AE3E37" w:rsidRPr="00487DA1" w:rsidRDefault="00487DA1" w:rsidP="00487DA1">
      <w:pPr>
        <w:tabs>
          <w:tab w:val="left" w:pos="384"/>
        </w:tabs>
        <w:ind w:right="117"/>
        <w:rPr>
          <w:sz w:val="18"/>
          <w:szCs w:val="18"/>
        </w:rPr>
      </w:pPr>
      <w:r w:rsidRPr="00487DA1">
        <w:rPr>
          <w:sz w:val="18"/>
          <w:szCs w:val="18"/>
        </w:rPr>
        <w:fldChar w:fldCharType="end"/>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he-I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009A4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DB01E2" w:rsidP="00DB01E2">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Pr="006A6042" w:rsidRDefault="006A6042" w:rsidP="006A6042">
      <w:pPr>
        <w:spacing w:before="41"/>
        <w:ind w:left="213" w:right="231"/>
        <w:jc w:val="both"/>
        <w:rPr>
          <w:rFonts w:asciiTheme="majorBidi" w:hAnsiTheme="majorBidi" w:cstheme="majorBidi"/>
          <w:sz w:val="14"/>
        </w:rPr>
      </w:pPr>
      <w:r w:rsidRPr="006A6042">
        <w:rPr>
          <w:rFonts w:asciiTheme="majorBidi" w:hAnsiTheme="majorBidi" w:cstheme="majorBidi"/>
        </w:rPr>
        <w:t>Dr. Hagit Aviv is a lab manager and a research associate in the Molecular Photonics Laboratory in the Department of Chemistry at Bar-</w:t>
      </w:r>
      <w:proofErr w:type="spellStart"/>
      <w:r w:rsidRPr="006A6042">
        <w:rPr>
          <w:rFonts w:asciiTheme="majorBidi" w:hAnsiTheme="majorBidi" w:cstheme="majorBidi"/>
        </w:rPr>
        <w:t>Ilan</w:t>
      </w:r>
      <w:proofErr w:type="spellEnd"/>
      <w:r w:rsidRPr="006A6042">
        <w:rPr>
          <w:rFonts w:asciiTheme="majorBidi" w:hAnsiTheme="majorBidi" w:cstheme="majorBidi"/>
        </w:rPr>
        <w:t xml:space="preserve"> University. Her research focuses on Raman Spectroscopy of nanostructure and atomic force microscopy of thin films. She also designs and characterizes </w:t>
      </w:r>
      <w:proofErr w:type="spellStart"/>
      <w:r w:rsidRPr="006A6042">
        <w:rPr>
          <w:rFonts w:asciiTheme="majorBidi" w:hAnsiTheme="majorBidi" w:cstheme="majorBidi"/>
        </w:rPr>
        <w:t>nano</w:t>
      </w:r>
      <w:proofErr w:type="spellEnd"/>
      <w:r w:rsidRPr="006A6042">
        <w:rPr>
          <w:rFonts w:asciiTheme="majorBidi" w:hAnsiTheme="majorBidi" w:cstheme="majorBidi"/>
        </w:rPr>
        <w:t xml:space="preserve"> devices. Her work has been published in several esteemed journals in her field and she leads </w:t>
      </w:r>
      <w:proofErr w:type="spellStart"/>
      <w:r w:rsidRPr="006A6042">
        <w:rPr>
          <w:rFonts w:asciiTheme="majorBidi" w:hAnsiTheme="majorBidi" w:cstheme="majorBidi"/>
        </w:rPr>
        <w:t>sevelar</w:t>
      </w:r>
      <w:proofErr w:type="spellEnd"/>
      <w:r w:rsidRPr="006A6042">
        <w:rPr>
          <w:rFonts w:asciiTheme="majorBidi" w:hAnsiTheme="majorBidi" w:cstheme="majorBidi"/>
        </w:rPr>
        <w:t xml:space="preserve"> collaborative projects in the private sector.</w:t>
      </w:r>
    </w:p>
    <w:p w:rsidR="006A6042" w:rsidRPr="006A6042" w:rsidRDefault="006A6042" w:rsidP="006A6042">
      <w:pPr>
        <w:spacing w:before="62"/>
        <w:ind w:left="4217" w:right="4235"/>
        <w:jc w:val="center"/>
        <w:rPr>
          <w:rFonts w:asciiTheme="majorBidi" w:hAnsiTheme="majorBidi" w:cstheme="majorBidi"/>
          <w:sz w:val="14"/>
        </w:rPr>
      </w:pPr>
    </w:p>
    <w:p w:rsidR="00AE3E37" w:rsidRDefault="00A9710C" w:rsidP="00DB01E2">
      <w:pPr>
        <w:spacing w:before="62"/>
        <w:ind w:left="4217" w:right="4235"/>
        <w:jc w:val="center"/>
        <w:rPr>
          <w:rFonts w:ascii="Arial"/>
          <w:sz w:val="14"/>
        </w:rPr>
      </w:pPr>
      <w:r>
        <w:rPr>
          <w:rFonts w:ascii="Arial"/>
          <w:sz w:val="14"/>
        </w:rPr>
        <w:t xml:space="preserve">Email: </w:t>
      </w:r>
      <w:hyperlink r:id="rId11" w:history="1">
        <w:r w:rsidR="00DB01E2" w:rsidRPr="00B65042">
          <w:rPr>
            <w:rStyle w:val="Hyperlink"/>
            <w:rFonts w:ascii="Arial"/>
            <w:sz w:val="14"/>
          </w:rPr>
          <w:t>hagit.aviv@biu.ac.il</w:t>
        </w:r>
      </w:hyperlink>
    </w:p>
    <w:p w:rsidR="00AE3E37" w:rsidRDefault="00292ED9" w:rsidP="001E7C8C">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lang w:bidi="he-I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4EAA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858" w:rsidRDefault="00204858">
      <w:r>
        <w:separator/>
      </w:r>
    </w:p>
  </w:endnote>
  <w:endnote w:type="continuationSeparator" w:id="0">
    <w:p w:rsidR="00204858" w:rsidRDefault="00204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he-I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e-I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e-I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858" w:rsidRDefault="00204858">
      <w:r>
        <w:separator/>
      </w:r>
    </w:p>
  </w:footnote>
  <w:footnote w:type="continuationSeparator" w:id="0">
    <w:p w:rsidR="00204858" w:rsidRDefault="002048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he-I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e-I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C8C"/>
    <w:rsid w:val="00204858"/>
    <w:rsid w:val="002455EC"/>
    <w:rsid w:val="00292ED9"/>
    <w:rsid w:val="00404E5B"/>
    <w:rsid w:val="00414F7B"/>
    <w:rsid w:val="004355DC"/>
    <w:rsid w:val="004749B4"/>
    <w:rsid w:val="00487DA1"/>
    <w:rsid w:val="00494130"/>
    <w:rsid w:val="004F3523"/>
    <w:rsid w:val="005973B9"/>
    <w:rsid w:val="005B3A56"/>
    <w:rsid w:val="006060CE"/>
    <w:rsid w:val="0063497F"/>
    <w:rsid w:val="006A6042"/>
    <w:rsid w:val="00873DF0"/>
    <w:rsid w:val="008756E6"/>
    <w:rsid w:val="00875D77"/>
    <w:rsid w:val="008A08B6"/>
    <w:rsid w:val="009B2D44"/>
    <w:rsid w:val="00A07E82"/>
    <w:rsid w:val="00A9710C"/>
    <w:rsid w:val="00AE3E37"/>
    <w:rsid w:val="00B21A57"/>
    <w:rsid w:val="00C33602"/>
    <w:rsid w:val="00CD6F55"/>
    <w:rsid w:val="00DB01E2"/>
    <w:rsid w:val="00DE3104"/>
    <w:rsid w:val="00E26B10"/>
    <w:rsid w:val="00EB45A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AF5D5"/>
  <w15:docId w15:val="{B1CFE9F3-F2BC-4F76-AAFE-CA82FB321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horttext">
    <w:name w:val="short_text"/>
    <w:basedOn w:val="DefaultParagraphFont"/>
    <w:rsid w:val="00DB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git.aviv@biu.ac.il" TargetMode="External"/><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5B566-8C2D-4608-ADDE-71B8DF259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Hagit Biton</cp:lastModifiedBy>
  <cp:revision>8</cp:revision>
  <dcterms:created xsi:type="dcterms:W3CDTF">2019-09-22T05:37:00Z</dcterms:created>
  <dcterms:modified xsi:type="dcterms:W3CDTF">2019-09-22T06:17:00Z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y fmtid="{D5CDD505-2E9C-101B-9397-08002B2CF9AE}" pid="6" name="Mendeley Citation Style_1">
    <vt:lpwstr>http://www.zotero.org/styles/nature</vt:lpwstr>
  </property>
  <property fmtid="{D5CDD505-2E9C-101B-9397-08002B2CF9AE}" pid="7" name="Mendeley Unique User Id_1">
    <vt:lpwstr>fec6ed85-bb15-3282-97dc-8a8948ac1f74</vt:lpwstr>
  </property>
</Properties>
</file>