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854" w:rsidRDefault="00785854" w:rsidP="00785854">
      <w:pPr>
        <w:jc w:val="both"/>
        <w:rPr>
          <w:b/>
          <w:bCs/>
          <w:sz w:val="32"/>
          <w:szCs w:val="32"/>
        </w:rPr>
      </w:pPr>
      <w:r w:rsidRPr="004C7D3C">
        <w:rPr>
          <w:b/>
          <w:bCs/>
          <w:sz w:val="32"/>
          <w:szCs w:val="32"/>
        </w:rPr>
        <w:t>Evaluation of adding</w:t>
      </w:r>
      <w:r>
        <w:rPr>
          <w:b/>
          <w:bCs/>
          <w:sz w:val="32"/>
          <w:szCs w:val="32"/>
        </w:rPr>
        <w:t xml:space="preserve"> carbon tetrachloride as</w:t>
      </w:r>
      <w:r w:rsidRPr="004C7D3C">
        <w:rPr>
          <w:b/>
          <w:bCs/>
          <w:sz w:val="32"/>
          <w:szCs w:val="32"/>
        </w:rPr>
        <w:t xml:space="preserve"> </w:t>
      </w:r>
      <w:r>
        <w:rPr>
          <w:b/>
          <w:bCs/>
          <w:sz w:val="32"/>
          <w:szCs w:val="32"/>
        </w:rPr>
        <w:t>P</w:t>
      </w:r>
      <w:r w:rsidRPr="004C7D3C">
        <w:rPr>
          <w:b/>
          <w:bCs/>
          <w:sz w:val="32"/>
          <w:szCs w:val="32"/>
        </w:rPr>
        <w:t xml:space="preserve">ropulsion to the thermal cracking reactor due to the amount of formed coke in different </w:t>
      </w:r>
      <w:r w:rsidRPr="00A040AC">
        <w:rPr>
          <w:b/>
          <w:bCs/>
          <w:sz w:val="32"/>
          <w:szCs w:val="32"/>
        </w:rPr>
        <w:t xml:space="preserve">Coil Outlet Temperatures </w:t>
      </w:r>
      <w:r>
        <w:rPr>
          <w:b/>
          <w:bCs/>
          <w:sz w:val="32"/>
          <w:szCs w:val="32"/>
        </w:rPr>
        <w:t>(COT).</w:t>
      </w:r>
    </w:p>
    <w:p w:rsidR="00D33507" w:rsidRDefault="00D33507" w:rsidP="00785854">
      <w:pPr>
        <w:rPr>
          <w:rFonts w:ascii="Times New Roman" w:hAnsi="Times New Roman" w:cs="Times New Roman"/>
          <w:b/>
          <w:bCs/>
          <w:sz w:val="28"/>
          <w:szCs w:val="28"/>
        </w:rPr>
      </w:pPr>
      <w:r>
        <w:rPr>
          <w:rFonts w:ascii="Times New Roman" w:hAnsi="Times New Roman" w:cs="Times New Roman"/>
          <w:b/>
          <w:bCs/>
          <w:sz w:val="28"/>
          <w:szCs w:val="28"/>
        </w:rPr>
        <w:t>Afshin Davarpanah</w:t>
      </w:r>
      <w:r>
        <w:rPr>
          <w:rFonts w:ascii="Times New Roman" w:hAnsi="Times New Roman" w:cs="Times New Roman"/>
          <w:b/>
          <w:bCs/>
          <w:sz w:val="28"/>
          <w:szCs w:val="28"/>
          <w:vertAlign w:val="superscript"/>
        </w:rPr>
        <w:t xml:space="preserve"> </w:t>
      </w:r>
    </w:p>
    <w:p w:rsidR="00D33507" w:rsidRDefault="00D33507" w:rsidP="00785854">
      <w:pPr>
        <w:pStyle w:val="Heading3"/>
        <w:spacing w:before="147"/>
        <w:ind w:left="0"/>
        <w:jc w:val="both"/>
        <w:rPr>
          <w:color w:val="BF5A14"/>
        </w:rPr>
      </w:pPr>
      <w:r w:rsidRPr="00A1357C">
        <w:rPr>
          <w:rFonts w:ascii="Times New Roman" w:hAnsi="Times New Roman" w:cs="Times New Roman"/>
        </w:rPr>
        <w:t>Department of petroleum</w:t>
      </w:r>
      <w:r>
        <w:rPr>
          <w:rFonts w:ascii="Times New Roman" w:hAnsi="Times New Roman" w:cs="Times New Roman"/>
        </w:rPr>
        <w:t>,</w:t>
      </w:r>
      <w:r w:rsidRPr="003E5DAB">
        <w:rPr>
          <w:rFonts w:ascii="Times New Roman" w:hAnsi="Times New Roman" w:cs="Times New Roman"/>
        </w:rPr>
        <w:t xml:space="preserve"> </w:t>
      </w:r>
      <w:r w:rsidRPr="00A1357C">
        <w:rPr>
          <w:rFonts w:ascii="Times New Roman" w:hAnsi="Times New Roman" w:cs="Times New Roman"/>
        </w:rPr>
        <w:t xml:space="preserve">Science and </w:t>
      </w:r>
      <w:r>
        <w:rPr>
          <w:rFonts w:ascii="Times New Roman" w:hAnsi="Times New Roman" w:cs="Times New Roman"/>
        </w:rPr>
        <w:t xml:space="preserve">Research Branch, </w:t>
      </w:r>
      <w:r w:rsidRPr="00A1357C">
        <w:rPr>
          <w:rFonts w:ascii="Times New Roman" w:hAnsi="Times New Roman" w:cs="Times New Roman"/>
        </w:rPr>
        <w:t>Islamic Azad University, Tehran</w:t>
      </w:r>
      <w:r>
        <w:rPr>
          <w:rFonts w:ascii="Times New Roman" w:hAnsi="Times New Roman" w:cs="Times New Roman"/>
        </w:rPr>
        <w:t xml:space="preserve">, </w:t>
      </w:r>
      <w:r w:rsidRPr="00A1357C">
        <w:rPr>
          <w:rFonts w:ascii="Times New Roman" w:hAnsi="Times New Roman" w:cs="Times New Roman"/>
        </w:rPr>
        <w:t>Iran</w:t>
      </w:r>
      <w:r>
        <w:rPr>
          <w:color w:val="BF5A14"/>
        </w:rPr>
        <w:t xml:space="preserve"> </w:t>
      </w:r>
    </w:p>
    <w:p w:rsidR="00AE3E37" w:rsidRDefault="00A9710C" w:rsidP="00481DC0">
      <w:pPr>
        <w:pStyle w:val="Heading3"/>
        <w:spacing w:before="147"/>
        <w:ind w:left="0"/>
        <w:jc w:val="both"/>
      </w:pPr>
      <w:r>
        <w:rPr>
          <w:color w:val="BF5A14"/>
        </w:rPr>
        <w:t>Abstract</w:t>
      </w:r>
      <w:r w:rsidR="00404E5B">
        <w:rPr>
          <w:color w:val="BF5A14"/>
        </w:rPr>
        <w:t xml:space="preserve"> </w:t>
      </w:r>
    </w:p>
    <w:p w:rsidR="00785854" w:rsidRDefault="00785854" w:rsidP="00785854">
      <w:pPr>
        <w:pStyle w:val="NormalWeb"/>
        <w:jc w:val="both"/>
      </w:pPr>
      <w:r>
        <w:t>Nowadays, polyvinyl chloride (PVC) was the most usual plastic. Thereby, to make polyvinyl chloride its monomer must be produced firstly that was called</w:t>
      </w:r>
      <w:r w:rsidRPr="00F92F10">
        <w:t xml:space="preserve"> </w:t>
      </w:r>
      <w:r>
        <w:t>vinyl chloride (VCM). It was severely endothermic reaction that was done in an ethylene dichloride ethylene dichloride thermal cracking reactor within temperature range of 680-758 ° K and pressure range of 25</w:t>
      </w:r>
      <w:r>
        <w:rPr>
          <w:rFonts w:hint="cs"/>
          <w:rtl/>
        </w:rPr>
        <w:t>00000</w:t>
      </w:r>
      <w:r>
        <w:rPr>
          <w:lang w:val="en-US"/>
        </w:rPr>
        <w:t xml:space="preserve"> Pascal</w:t>
      </w:r>
      <w:r w:rsidRPr="00F50065">
        <w:t>,</w:t>
      </w:r>
      <w:r>
        <w:rPr>
          <w:color w:val="FF0000"/>
        </w:rPr>
        <w:t xml:space="preserve"> </w:t>
      </w:r>
      <w:r>
        <w:t>thus this cracking reaction changed into hydrochloric acid and VCM. In production unit, monomeric chloride had the main and principal role as the core of the process of thermal cracking that occurs in the furnace. Increasing of wall temperature cause to boil gas mixture and causing pyrolysis reactions. Regarding to the simulation results showed that number of pyrolysis produced composition have maximum concentration in the length of reactor that illustrated these compositions participated in secondary reactions. Furthermore, by increasing the amount of coil outlet temperatures, the amount of formed coke will be increased. If Carbon tetrachloride considered as the chlorine radicals, it has an important role as the motivator in the cracking procedures, radicals causing an enhancement in VCM production.</w:t>
      </w:r>
    </w:p>
    <w:p w:rsidR="00785854" w:rsidRPr="00785854" w:rsidRDefault="00D33507" w:rsidP="00785854">
      <w:pPr>
        <w:jc w:val="both"/>
        <w:rPr>
          <w:rFonts w:ascii="Times New Roman" w:eastAsia="Times New Roman" w:hAnsi="Times New Roman" w:cs="Times New Roman"/>
          <w:sz w:val="24"/>
          <w:szCs w:val="24"/>
          <w:lang w:val="en-GB" w:eastAsia="en-GB"/>
        </w:rPr>
      </w:pPr>
      <w:r w:rsidRPr="00A64AF5">
        <w:rPr>
          <w:rFonts w:ascii="Times New Roman" w:hAnsi="Times New Roman" w:cs="Times New Roman"/>
          <w:b/>
          <w:bCs/>
          <w:color w:val="000000"/>
          <w:sz w:val="28"/>
          <w:szCs w:val="28"/>
        </w:rPr>
        <w:t>Keywords:</w:t>
      </w:r>
      <w:r w:rsidRPr="00A64AF5">
        <w:rPr>
          <w:rFonts w:ascii="Times New Roman" w:hAnsi="Times New Roman" w:cs="Times New Roman"/>
          <w:color w:val="000000"/>
          <w:sz w:val="28"/>
          <w:szCs w:val="28"/>
        </w:rPr>
        <w:t xml:space="preserve"> </w:t>
      </w:r>
      <w:r w:rsidR="00785854" w:rsidRPr="00785854">
        <w:rPr>
          <w:rFonts w:ascii="Times New Roman" w:eastAsia="Times New Roman" w:hAnsi="Times New Roman" w:cs="Times New Roman"/>
          <w:sz w:val="24"/>
          <w:szCs w:val="24"/>
          <w:lang w:val="en-GB" w:eastAsia="en-GB"/>
        </w:rPr>
        <w:t>Carbon tetrachloride, conversion factor, coke, Coil Outlet Temperatures, thermal cracking</w:t>
      </w:r>
      <w:r w:rsidR="00785854" w:rsidRPr="00785854">
        <w:rPr>
          <w:rFonts w:ascii="Times New Roman" w:eastAsia="Times New Roman" w:hAnsi="Times New Roman" w:cs="Times New Roman"/>
          <w:sz w:val="24"/>
          <w:szCs w:val="24"/>
          <w:lang w:val="en-GB" w:eastAsia="en-GB"/>
        </w:rPr>
        <w:t>.</w:t>
      </w:r>
    </w:p>
    <w:p w:rsidR="00AE3E37" w:rsidRDefault="00785854" w:rsidP="00785854">
      <w:pPr>
        <w:jc w:val="both"/>
      </w:pPr>
      <w:r w:rsidRPr="00785854">
        <w:rPr>
          <w:rFonts w:ascii="Times New Roman" w:eastAsia="Times New Roman" w:hAnsi="Times New Roman" w:cs="Times New Roman"/>
          <w:sz w:val="24"/>
          <w:szCs w:val="24"/>
          <w:lang w:val="en-GB" w:eastAsia="en-GB"/>
        </w:rPr>
        <w:br/>
      </w:r>
      <w:r w:rsidR="00A9710C">
        <w:br w:type="column"/>
      </w:r>
      <w:r w:rsidR="00A9710C">
        <w:rPr>
          <w:color w:val="BF5A14"/>
        </w:rPr>
        <w:lastRenderedPageBreak/>
        <w:t>Image</w:t>
      </w:r>
    </w:p>
    <w:p w:rsidR="00AE3E37" w:rsidRDefault="00AE3E37">
      <w:pPr>
        <w:pStyle w:val="BodyText"/>
        <w:spacing w:before="2"/>
        <w:rPr>
          <w:rFonts w:ascii="Arial"/>
          <w:b/>
          <w:sz w:val="16"/>
        </w:rPr>
      </w:pPr>
    </w:p>
    <w:p w:rsidR="005973B9" w:rsidRDefault="005973B9" w:rsidP="00481DC0">
      <w:pPr>
        <w:spacing w:line="204" w:lineRule="exact"/>
        <w:rPr>
          <w:rFonts w:ascii="Arial"/>
          <w:b/>
          <w:sz w:val="20"/>
        </w:rPr>
      </w:pPr>
      <w:r>
        <w:rPr>
          <w:rFonts w:ascii="Arial"/>
          <w:b/>
          <w:color w:val="BF5A14"/>
          <w:sz w:val="20"/>
        </w:rPr>
        <w:br/>
        <w:t>Recent Publications</w:t>
      </w:r>
    </w:p>
    <w:p w:rsidR="00D33507" w:rsidRPr="00B167ED" w:rsidRDefault="00D33507" w:rsidP="00D33507">
      <w:pPr>
        <w:rPr>
          <w:b/>
          <w:bCs/>
        </w:rPr>
      </w:pPr>
      <w:r w:rsidRPr="00B167ED">
        <w:rPr>
          <w:b/>
          <w:bCs/>
        </w:rPr>
        <w:t>Books:</w:t>
      </w:r>
    </w:p>
    <w:p w:rsidR="00D33507" w:rsidRDefault="00D33507" w:rsidP="00D33507">
      <w:pPr>
        <w:widowControl/>
        <w:numPr>
          <w:ilvl w:val="0"/>
          <w:numId w:val="3"/>
        </w:numPr>
        <w:jc w:val="both"/>
      </w:pPr>
      <w:r w:rsidRPr="00853D32">
        <w:t>Evaluation of Permeability by Production Logging Tools</w:t>
      </w:r>
      <w:r>
        <w:t>(PLT) [Lambert Academic Publishers] ISBN: 978-3-330-03705-2; Published Date Jan-2017</w:t>
      </w:r>
    </w:p>
    <w:p w:rsidR="00D33507" w:rsidRPr="00AE5D6B" w:rsidRDefault="00D33507" w:rsidP="00D33507">
      <w:pPr>
        <w:widowControl/>
        <w:numPr>
          <w:ilvl w:val="0"/>
          <w:numId w:val="3"/>
        </w:numPr>
        <w:jc w:val="both"/>
      </w:pPr>
      <w:r w:rsidRPr="00AE5D6B">
        <w:t>Variety Types Of Autonomous Underwater Vehicles By Solar Submarines</w:t>
      </w:r>
      <w:r>
        <w:t>[Lambert Academic Publishers] ISBN: 978-3-659-90945-0; Published Date Feb-2017</w:t>
      </w:r>
    </w:p>
    <w:p w:rsidR="00D33507" w:rsidRPr="00B167ED" w:rsidRDefault="00D33507" w:rsidP="00D33507">
      <w:pPr>
        <w:jc w:val="both"/>
        <w:rPr>
          <w:b/>
          <w:bCs/>
        </w:rPr>
      </w:pPr>
      <w:r w:rsidRPr="00B167ED">
        <w:rPr>
          <w:b/>
          <w:bCs/>
        </w:rPr>
        <w:t>Researches:</w:t>
      </w:r>
    </w:p>
    <w:p w:rsidR="00D33507" w:rsidRPr="00853D32" w:rsidRDefault="00D33507" w:rsidP="00D33507">
      <w:pPr>
        <w:pStyle w:val="ListParagraph"/>
        <w:widowControl/>
        <w:numPr>
          <w:ilvl w:val="0"/>
          <w:numId w:val="3"/>
        </w:numPr>
        <w:spacing w:before="0" w:after="160" w:line="240" w:lineRule="auto"/>
        <w:contextualSpacing/>
        <w:rPr>
          <w:rFonts w:ascii="Times New Roman" w:eastAsia="Times New Roman" w:hAnsi="Times New Roman"/>
          <w:sz w:val="24"/>
          <w:szCs w:val="24"/>
        </w:rPr>
      </w:pPr>
      <w:r w:rsidRPr="00853D32">
        <w:rPr>
          <w:rFonts w:ascii="Times New Roman" w:eastAsia="Times New Roman" w:hAnsi="Times New Roman"/>
          <w:sz w:val="24"/>
          <w:szCs w:val="24"/>
        </w:rPr>
        <w:t>Evaluation of Permeability in Fractured Carbonate Reservoirs by Production Logging Tools (PLT)[Journal of Petroleum environment</w:t>
      </w:r>
      <w:r>
        <w:rPr>
          <w:rFonts w:ascii="Times New Roman" w:eastAsia="Times New Roman" w:hAnsi="Times New Roman"/>
          <w:sz w:val="24"/>
          <w:szCs w:val="24"/>
        </w:rPr>
        <w:t xml:space="preserve">al and biotechnology –Nov2016] ; </w:t>
      </w:r>
      <w:r w:rsidRPr="00B9515A">
        <w:rPr>
          <w:rFonts w:ascii="Times New Roman" w:eastAsia="Times New Roman" w:hAnsi="Times New Roman"/>
          <w:sz w:val="24"/>
          <w:szCs w:val="24"/>
        </w:rPr>
        <w:t>D0I: 10.4172/2157-7463.1000307</w:t>
      </w:r>
    </w:p>
    <w:p w:rsidR="00D33507" w:rsidRPr="00853D32" w:rsidRDefault="00D33507" w:rsidP="00D33507">
      <w:pPr>
        <w:pStyle w:val="ListParagraph"/>
        <w:widowControl/>
        <w:numPr>
          <w:ilvl w:val="0"/>
          <w:numId w:val="3"/>
        </w:numPr>
        <w:spacing w:before="0" w:after="160" w:line="240" w:lineRule="auto"/>
        <w:contextualSpacing/>
        <w:rPr>
          <w:rFonts w:ascii="Times New Roman" w:eastAsia="Times New Roman" w:hAnsi="Times New Roman"/>
          <w:sz w:val="24"/>
          <w:szCs w:val="24"/>
        </w:rPr>
      </w:pPr>
      <w:r w:rsidRPr="00853D32">
        <w:rPr>
          <w:rFonts w:ascii="Times New Roman" w:eastAsia="Times New Roman" w:hAnsi="Times New Roman"/>
          <w:sz w:val="24"/>
          <w:szCs w:val="24"/>
        </w:rPr>
        <w:t xml:space="preserve">Assessment of mechanical specific energy aimed at improving drilling inefficiencies and minimize wellbore instability[Journal of Petroleum environmental and biotechnology </w:t>
      </w:r>
      <w:r>
        <w:rPr>
          <w:rFonts w:ascii="Times New Roman" w:eastAsia="Times New Roman" w:hAnsi="Times New Roman"/>
          <w:sz w:val="24"/>
          <w:szCs w:val="24"/>
        </w:rPr>
        <w:t>–Dec2016] ;</w:t>
      </w:r>
      <w:r w:rsidRPr="00B9515A">
        <w:rPr>
          <w:rFonts w:ascii="Times New Roman" w:eastAsia="Times New Roman" w:hAnsi="Times New Roman"/>
          <w:sz w:val="24"/>
          <w:szCs w:val="24"/>
        </w:rPr>
        <w:t>D0I: 10.4172/2157-7463.1000309</w:t>
      </w:r>
    </w:p>
    <w:p w:rsidR="00D33507" w:rsidRPr="00853D32" w:rsidRDefault="00D33507" w:rsidP="00D33507">
      <w:pPr>
        <w:pStyle w:val="ListParagraph"/>
        <w:widowControl/>
        <w:numPr>
          <w:ilvl w:val="0"/>
          <w:numId w:val="3"/>
        </w:numPr>
        <w:spacing w:before="0" w:after="160" w:line="240" w:lineRule="auto"/>
        <w:contextualSpacing/>
        <w:rPr>
          <w:rFonts w:ascii="Times New Roman" w:eastAsia="Times New Roman" w:hAnsi="Times New Roman"/>
          <w:sz w:val="24"/>
          <w:szCs w:val="24"/>
        </w:rPr>
      </w:pPr>
      <w:r w:rsidRPr="00853D32">
        <w:rPr>
          <w:rFonts w:ascii="Times New Roman" w:eastAsia="Times New Roman" w:hAnsi="Times New Roman"/>
          <w:sz w:val="24"/>
          <w:szCs w:val="24"/>
        </w:rPr>
        <w:t>Analysis of fractured reservoir structure by interpretation of FMI and VSP logs.[Journal of marine science res</w:t>
      </w:r>
      <w:r>
        <w:rPr>
          <w:rFonts w:ascii="Times New Roman" w:eastAsia="Times New Roman" w:hAnsi="Times New Roman"/>
          <w:sz w:val="24"/>
          <w:szCs w:val="24"/>
        </w:rPr>
        <w:t>earch and development-Dec2016] ;</w:t>
      </w:r>
      <w:r w:rsidRPr="00B9515A">
        <w:rPr>
          <w:rFonts w:ascii="Times New Roman" w:eastAsia="Times New Roman" w:hAnsi="Times New Roman"/>
          <w:sz w:val="24"/>
          <w:szCs w:val="24"/>
        </w:rPr>
        <w:t>DOI: 10.4172/2155-9910.1000216</w:t>
      </w:r>
    </w:p>
    <w:p w:rsidR="00D33507" w:rsidRPr="00D33507" w:rsidRDefault="00785854" w:rsidP="00D33507">
      <w:pPr>
        <w:pStyle w:val="ListParagraph"/>
        <w:widowControl/>
        <w:numPr>
          <w:ilvl w:val="0"/>
          <w:numId w:val="3"/>
        </w:numPr>
        <w:spacing w:after="160"/>
        <w:contextualSpacing/>
        <w:rPr>
          <w:rFonts w:ascii="Times New Roman" w:eastAsia="Times New Roman" w:hAnsi="Times New Roman"/>
          <w:sz w:val="24"/>
          <w:szCs w:val="24"/>
        </w:rPr>
      </w:pPr>
      <w:bookmarkStart w:id="0" w:name="_GoBack"/>
      <w:r w:rsidRPr="00481DC0">
        <w:rPr>
          <w:rFonts w:ascii="Times New Roman" w:eastAsia="Times New Roman" w:hAnsi="Times New Roman"/>
          <w:noProof/>
          <w:sz w:val="24"/>
          <w:szCs w:val="24"/>
        </w:rPr>
        <w:drawing>
          <wp:anchor distT="0" distB="0" distL="0" distR="0" simplePos="0" relativeHeight="251658752" behindDoc="0" locked="0" layoutInCell="1" allowOverlap="1" wp14:anchorId="35FACB9D" wp14:editId="71620619">
            <wp:simplePos x="0" y="0"/>
            <wp:positionH relativeFrom="page">
              <wp:posOffset>4067175</wp:posOffset>
            </wp:positionH>
            <wp:positionV relativeFrom="paragraph">
              <wp:posOffset>334010</wp:posOffset>
            </wp:positionV>
            <wp:extent cx="3228975" cy="1609725"/>
            <wp:effectExtent l="0" t="0" r="9525"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a:extLst>
                        <a:ext uri="{28A0092B-C50C-407E-A947-70E740481C1C}">
                          <a14:useLocalDpi xmlns:a14="http://schemas.microsoft.com/office/drawing/2010/main" val="0"/>
                        </a:ext>
                      </a:extLst>
                    </a:blip>
                    <a:stretch>
                      <a:fillRect/>
                    </a:stretch>
                  </pic:blipFill>
                  <pic:spPr>
                    <a:xfrm>
                      <a:off x="0" y="0"/>
                      <a:ext cx="3228975" cy="1609725"/>
                    </a:xfrm>
                    <a:prstGeom prst="rect">
                      <a:avLst/>
                    </a:prstGeom>
                  </pic:spPr>
                </pic:pic>
              </a:graphicData>
            </a:graphic>
            <wp14:sizeRelH relativeFrom="margin">
              <wp14:pctWidth>0</wp14:pctWidth>
            </wp14:sizeRelH>
          </wp:anchor>
        </w:drawing>
      </w:r>
      <w:bookmarkEnd w:id="0"/>
      <w:r w:rsidR="005973B9" w:rsidRPr="00481DC0">
        <w:rPr>
          <w:rFonts w:ascii="Times New Roman" w:eastAsia="Times New Roman" w:hAnsi="Times New Roman"/>
          <w:sz w:val="24"/>
          <w:szCs w:val="24"/>
        </w:rPr>
        <w:t xml:space="preserve"> </w:t>
      </w:r>
      <w:r w:rsidR="00D33507" w:rsidRPr="00D33507">
        <w:rPr>
          <w:rFonts w:ascii="Times New Roman" w:eastAsia="Times New Roman" w:hAnsi="Times New Roman"/>
          <w:sz w:val="24"/>
          <w:szCs w:val="24"/>
        </w:rPr>
        <w:t>Evaluation of Thermal stability by comparison of potassium chloride and potassium/sodium formate fluids. [Journal of Environmental &amp; Analytical Toxicology- Jan 2017] ; DOI: 10.4172/2161-0525.1000426</w:t>
      </w:r>
    </w:p>
    <w:p w:rsidR="00D33507" w:rsidRDefault="00D33507" w:rsidP="00D33507">
      <w:pPr>
        <w:pStyle w:val="ListParagraph"/>
        <w:widowControl/>
        <w:numPr>
          <w:ilvl w:val="0"/>
          <w:numId w:val="3"/>
        </w:numPr>
        <w:spacing w:after="160"/>
        <w:contextualSpacing/>
        <w:rPr>
          <w:rFonts w:ascii="Times New Roman" w:eastAsia="Times New Roman" w:hAnsi="Times New Roman"/>
          <w:sz w:val="24"/>
          <w:szCs w:val="24"/>
        </w:rPr>
      </w:pPr>
      <w:r w:rsidRPr="00D33507">
        <w:rPr>
          <w:rFonts w:ascii="Times New Roman" w:eastAsia="Times New Roman" w:hAnsi="Times New Roman"/>
          <w:sz w:val="24"/>
          <w:szCs w:val="24"/>
        </w:rPr>
        <w:t>Evaluation of gas injection in the horizontal wells and optimizing oil recovery factor.[Journal of chromatography and separation techniques- Jan 2017 ] ; DOI: 10.4172/2157-7064.1000344</w:t>
      </w:r>
    </w:p>
    <w:p w:rsidR="00D33507" w:rsidRPr="00481DC0" w:rsidRDefault="00D33507" w:rsidP="00D33507">
      <w:pPr>
        <w:widowControl/>
        <w:numPr>
          <w:ilvl w:val="0"/>
          <w:numId w:val="3"/>
        </w:numPr>
        <w:jc w:val="both"/>
        <w:rPr>
          <w:rFonts w:ascii="Times New Roman" w:eastAsia="Times New Roman" w:hAnsi="Times New Roman" w:cs="Calibri"/>
          <w:sz w:val="24"/>
          <w:szCs w:val="24"/>
        </w:rPr>
      </w:pPr>
      <w:r w:rsidRPr="00481DC0">
        <w:rPr>
          <w:rFonts w:ascii="Times New Roman" w:eastAsia="Times New Roman" w:hAnsi="Times New Roman" w:cs="Calibri"/>
          <w:sz w:val="24"/>
          <w:szCs w:val="24"/>
        </w:rPr>
        <w:t xml:space="preserve">Evaluation of adding carbon tetrachloride as a propulsion to the thermal cracking reactor due to the amount of formed coke in different COTs.[Journal of chemical engineering and material sciences – Jan 2017] </w:t>
      </w:r>
    </w:p>
    <w:p w:rsidR="00D33507" w:rsidRPr="00481DC0" w:rsidRDefault="00D33507" w:rsidP="00D33507">
      <w:pPr>
        <w:widowControl/>
        <w:numPr>
          <w:ilvl w:val="0"/>
          <w:numId w:val="3"/>
        </w:numPr>
        <w:jc w:val="both"/>
        <w:rPr>
          <w:rFonts w:ascii="Times New Roman" w:eastAsia="Times New Roman" w:hAnsi="Times New Roman" w:cs="Calibri"/>
          <w:sz w:val="24"/>
          <w:szCs w:val="24"/>
        </w:rPr>
      </w:pPr>
      <w:r w:rsidRPr="00481DC0">
        <w:rPr>
          <w:rFonts w:ascii="Times New Roman" w:eastAsia="Times New Roman" w:hAnsi="Times New Roman" w:cs="Calibri"/>
          <w:sz w:val="24"/>
          <w:szCs w:val="24"/>
        </w:rPr>
        <w:t xml:space="preserve">Recommendations for compatibility of different types of polymers with Potassium  Sodium formate based fluids for drilling operations An Experimental comparative Analysis [ journal of material science </w:t>
      </w:r>
      <w:r w:rsidRPr="00481DC0">
        <w:rPr>
          <w:rFonts w:ascii="Times New Roman" w:eastAsia="Times New Roman" w:hAnsi="Times New Roman" w:cs="Calibri"/>
          <w:sz w:val="24"/>
          <w:szCs w:val="24"/>
        </w:rPr>
        <w:lastRenderedPageBreak/>
        <w:t>and engineering- Jan 2017] ; DOI: 10.4172/2169-0022.1000311</w:t>
      </w:r>
    </w:p>
    <w:p w:rsidR="00D33507" w:rsidRPr="00481DC0" w:rsidRDefault="00D33507" w:rsidP="00D33507">
      <w:pPr>
        <w:widowControl/>
        <w:numPr>
          <w:ilvl w:val="0"/>
          <w:numId w:val="3"/>
        </w:numPr>
        <w:jc w:val="both"/>
        <w:rPr>
          <w:rFonts w:ascii="Times New Roman" w:eastAsia="Times New Roman" w:hAnsi="Times New Roman" w:cs="Calibri"/>
          <w:sz w:val="24"/>
          <w:szCs w:val="24"/>
        </w:rPr>
      </w:pPr>
      <w:r w:rsidRPr="00481DC0">
        <w:rPr>
          <w:rFonts w:ascii="Times New Roman" w:eastAsia="Times New Roman" w:hAnsi="Times New Roman" w:cs="Calibri"/>
          <w:sz w:val="24"/>
          <w:szCs w:val="24"/>
        </w:rPr>
        <w:t xml:space="preserve">An Overview of Wettability Measurements in Fractured Carbonated Reservoirs   and investigate the effects of wettability changes in the optimization of enhanced oil recovery techniques [International Journal of Petroleum and </w:t>
      </w:r>
      <w:r w:rsidRPr="00481DC0">
        <w:rPr>
          <w:rFonts w:ascii="Times New Roman" w:eastAsia="Times New Roman" w:hAnsi="Times New Roman" w:cs="Calibri"/>
          <w:sz w:val="24"/>
          <w:szCs w:val="24"/>
        </w:rPr>
        <w:lastRenderedPageBreak/>
        <w:t>Petrochemical Engineering- March2017] ; DOI: http://dx.doi.org/10.20431/2454-7980.0301008</w:t>
      </w:r>
    </w:p>
    <w:p w:rsidR="00D33507" w:rsidRPr="00D33507" w:rsidRDefault="00D33507" w:rsidP="00D33507">
      <w:pPr>
        <w:pStyle w:val="ListParagraph"/>
        <w:widowControl/>
        <w:numPr>
          <w:ilvl w:val="0"/>
          <w:numId w:val="3"/>
        </w:numPr>
        <w:spacing w:after="160"/>
        <w:contextualSpacing/>
        <w:rPr>
          <w:rFonts w:ascii="Times New Roman" w:eastAsia="Times New Roman" w:hAnsi="Times New Roman"/>
          <w:sz w:val="24"/>
          <w:szCs w:val="24"/>
        </w:rPr>
      </w:pPr>
      <w:r w:rsidRPr="00481DC0">
        <w:rPr>
          <w:rFonts w:ascii="Times New Roman" w:eastAsia="Times New Roman" w:hAnsi="Times New Roman"/>
          <w:sz w:val="24"/>
          <w:szCs w:val="24"/>
        </w:rPr>
        <w:t>Implementation analysis of Technical-Economic Solar and wind Energy Potential for small homes [ journal of environmental risk assessment- Jan 2017]</w:t>
      </w:r>
    </w:p>
    <w:p w:rsidR="00AE3E37" w:rsidRPr="00481DC0" w:rsidRDefault="00AE3E37" w:rsidP="00D33507">
      <w:pPr>
        <w:pStyle w:val="BodyText"/>
        <w:spacing w:before="85" w:line="216" w:lineRule="exact"/>
        <w:ind w:left="383" w:right="138" w:hanging="284"/>
        <w:jc w:val="both"/>
        <w:rPr>
          <w:rFonts w:ascii="Times New Roman" w:eastAsia="Times New Roman" w:hAnsi="Times New Roman" w:cs="Calibri"/>
          <w:sz w:val="24"/>
          <w:szCs w:val="24"/>
        </w:rPr>
      </w:pPr>
    </w:p>
    <w:p w:rsidR="00AE3E37" w:rsidRPr="00481DC0" w:rsidRDefault="008756E6">
      <w:pPr>
        <w:spacing w:line="200" w:lineRule="exact"/>
        <w:jc w:val="both"/>
        <w:rPr>
          <w:rFonts w:ascii="Times New Roman" w:eastAsia="Times New Roman" w:hAnsi="Times New Roman" w:cs="Calibri"/>
          <w:sz w:val="24"/>
          <w:szCs w:val="24"/>
        </w:rPr>
        <w:sectPr w:rsidR="00AE3E37" w:rsidRPr="00481DC0">
          <w:headerReference w:type="default" r:id="rId8"/>
          <w:footerReference w:type="default" r:id="rId9"/>
          <w:type w:val="continuous"/>
          <w:pgSz w:w="11910" w:h="16840"/>
          <w:pgMar w:top="1740" w:right="600" w:bottom="840" w:left="620" w:header="720" w:footer="720" w:gutter="0"/>
          <w:cols w:num="2" w:space="720" w:equalWidth="0">
            <w:col w:w="5214" w:space="138"/>
            <w:col w:w="5338"/>
          </w:cols>
        </w:sectPr>
      </w:pPr>
      <w:r w:rsidRPr="00481DC0">
        <w:rPr>
          <w:rFonts w:ascii="Times New Roman" w:eastAsia="Times New Roman" w:hAnsi="Times New Roman" w:cs="Calibri"/>
          <w:sz w:val="24"/>
          <w:szCs w:val="24"/>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83A38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435461" cy="625069"/>
            <wp:effectExtent l="0" t="0" r="317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35461" cy="625069"/>
                    </a:xfrm>
                    <a:prstGeom prst="rect">
                      <a:avLst/>
                    </a:prstGeom>
                    <a:noFill/>
                    <a:ln>
                      <a:noFill/>
                    </a:ln>
                  </pic:spPr>
                </pic:pic>
              </a:graphicData>
            </a:graphic>
          </wp:inline>
        </w:drawing>
      </w:r>
      <w:r w:rsidR="00A9710C">
        <w:rPr>
          <w:rFonts w:ascii="Arial"/>
          <w:color w:val="BF5A14"/>
        </w:rPr>
        <w:t>Biography</w:t>
      </w:r>
    </w:p>
    <w:p w:rsidR="00D33507" w:rsidRDefault="00D33507" w:rsidP="00D33507">
      <w:pPr>
        <w:spacing w:line="276" w:lineRule="auto"/>
        <w:jc w:val="both"/>
        <w:rPr>
          <w:rFonts w:ascii="Times New Roman" w:hAnsi="Times New Roman" w:cs="Times New Roman"/>
          <w:color w:val="000000"/>
          <w:sz w:val="28"/>
          <w:szCs w:val="28"/>
        </w:rPr>
      </w:pPr>
      <w:r>
        <w:rPr>
          <w:rFonts w:ascii="Times New Roman" w:hAnsi="Times New Roman" w:cs="Times New Roman"/>
          <w:b/>
          <w:bCs/>
          <w:color w:val="000000"/>
          <w:sz w:val="28"/>
          <w:szCs w:val="28"/>
        </w:rPr>
        <w:t>Afshin Davarpanah</w:t>
      </w:r>
      <w:r>
        <w:rPr>
          <w:rFonts w:ascii="Times New Roman" w:hAnsi="Times New Roman" w:cs="Times New Roman"/>
          <w:color w:val="000000"/>
          <w:sz w:val="28"/>
          <w:szCs w:val="28"/>
        </w:rPr>
        <w:t xml:space="preserve">, Master degree of Petroleum Engineering at Islamic Azad University, Tehran science and research Branch. My current interests in petroleum engineering sciences include a full-field study of Data Gathering, Reservoir Simulation, History Matching and Prediction. Data gathering stage mainly consisted of Well Logging, Coring, Seismic Survey, Geological Survey and DST (or other well tests). History Matching is an extremely crucial stage in full field study in order to get a more reliable prediction of the reservoir behavior. There are always some data which do not match with the true condition of the reservoir. What I did at this stage as a petroleum engineer was to simulate and find the unmatched data and resolve the discrepancies. Furthermore, experimental evaluation of drilling fluid and its effects on the rheological properties and phase-behavior calculations are another studies which I research about. Theoretical reservoir evaluation is one of the most important activities during my researches. </w:t>
      </w:r>
    </w:p>
    <w:p w:rsidR="00AE3E37" w:rsidRDefault="00A9710C" w:rsidP="00D33507">
      <w:pPr>
        <w:spacing w:before="62"/>
        <w:ind w:left="4217" w:right="4235"/>
        <w:jc w:val="center"/>
        <w:rPr>
          <w:rFonts w:ascii="Arial"/>
          <w:sz w:val="14"/>
        </w:rPr>
      </w:pPr>
      <w:r>
        <w:rPr>
          <w:rFonts w:ascii="Arial"/>
          <w:sz w:val="14"/>
        </w:rPr>
        <w:t xml:space="preserve">Email: </w:t>
      </w:r>
      <w:r w:rsidR="00D33507">
        <w:rPr>
          <w:rFonts w:ascii="Arial"/>
          <w:sz w:val="14"/>
        </w:rPr>
        <w:t>Afshindpe@gmail.com</w:t>
      </w:r>
      <w:hyperlink r:id="rId11" w:history="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C7AE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C0A" w:rsidRDefault="00AE2C0A">
      <w:r>
        <w:separator/>
      </w:r>
    </w:p>
  </w:endnote>
  <w:endnote w:type="continuationSeparator" w:id="0">
    <w:p w:rsidR="00AE2C0A" w:rsidRDefault="00AE2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1515D696" wp14:editId="01D5F21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15D69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07B6102A" wp14:editId="6E96D5A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6102A"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2B8E5F11" wp14:editId="0FE1D4C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E5F11"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C0A" w:rsidRDefault="00AE2C0A">
      <w:r>
        <w:separator/>
      </w:r>
    </w:p>
  </w:footnote>
  <w:footnote w:type="continuationSeparator" w:id="0">
    <w:p w:rsidR="00AE2C0A" w:rsidRDefault="00AE2C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14:anchorId="38B6BF19" wp14:editId="55CDF5C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B6BF19"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14:anchorId="595AA902" wp14:editId="0612AA2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AA902"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87404CD"/>
    <w:multiLevelType w:val="hybridMultilevel"/>
    <w:tmpl w:val="2102A8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0166DE"/>
    <w:multiLevelType w:val="hybridMultilevel"/>
    <w:tmpl w:val="246835E6"/>
    <w:lvl w:ilvl="0" w:tplc="1228C6BE">
      <w:start w:val="1"/>
      <w:numFmt w:val="decimal"/>
      <w:lvlText w:val="%1)"/>
      <w:lvlJc w:val="left"/>
      <w:pPr>
        <w:ind w:left="990" w:hanging="360"/>
      </w:pPr>
      <w:rPr>
        <w:rFonts w:hint="default"/>
        <w:sz w:val="22"/>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355DC"/>
    <w:rsid w:val="004749B4"/>
    <w:rsid w:val="00481DC0"/>
    <w:rsid w:val="00494130"/>
    <w:rsid w:val="004F3523"/>
    <w:rsid w:val="005973B9"/>
    <w:rsid w:val="005B3A56"/>
    <w:rsid w:val="006060CE"/>
    <w:rsid w:val="0063497F"/>
    <w:rsid w:val="006E456D"/>
    <w:rsid w:val="00785854"/>
    <w:rsid w:val="00873DF0"/>
    <w:rsid w:val="008756E6"/>
    <w:rsid w:val="009049B5"/>
    <w:rsid w:val="00966917"/>
    <w:rsid w:val="00992AFC"/>
    <w:rsid w:val="009B2D44"/>
    <w:rsid w:val="00A07E82"/>
    <w:rsid w:val="00A9710C"/>
    <w:rsid w:val="00AC36F4"/>
    <w:rsid w:val="00AE2C0A"/>
    <w:rsid w:val="00AE3E37"/>
    <w:rsid w:val="00B21A57"/>
    <w:rsid w:val="00C33602"/>
    <w:rsid w:val="00CD6F55"/>
    <w:rsid w:val="00D33507"/>
    <w:rsid w:val="00DE3104"/>
    <w:rsid w:val="00E5547E"/>
    <w:rsid w:val="00F72EEA"/>
    <w:rsid w:val="00F84CAE"/>
    <w:rsid w:val="00F97CD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2DD39D9-FAF8-45A0-8668-F6F5A4869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D33507"/>
    <w:pPr>
      <w:widowControl/>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D33507"/>
    <w:rPr>
      <w:sz w:val="20"/>
      <w:szCs w:val="20"/>
    </w:rPr>
  </w:style>
  <w:style w:type="character" w:styleId="FootnoteReference">
    <w:name w:val="footnote reference"/>
    <w:basedOn w:val="DefaultParagraphFont"/>
    <w:uiPriority w:val="99"/>
    <w:semiHidden/>
    <w:unhideWhenUsed/>
    <w:rsid w:val="00D33507"/>
    <w:rPr>
      <w:vertAlign w:val="superscript"/>
    </w:rPr>
  </w:style>
  <w:style w:type="paragraph" w:styleId="NormalWeb">
    <w:name w:val="Normal (Web)"/>
    <w:basedOn w:val="Normal"/>
    <w:uiPriority w:val="99"/>
    <w:unhideWhenUsed/>
    <w:rsid w:val="00785854"/>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raya pardaz</cp:lastModifiedBy>
  <cp:revision>2</cp:revision>
  <dcterms:created xsi:type="dcterms:W3CDTF">2017-03-15T01:25:00Z</dcterms:created>
  <dcterms:modified xsi:type="dcterms:W3CDTF">2017-03-15T01:25:00Z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