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BA0A64" w14:textId="7AA131B0" w:rsidR="00AE3E37" w:rsidRDefault="00D21D1C" w:rsidP="00494130">
      <w:pPr>
        <w:pStyle w:val="Heading1"/>
        <w:spacing w:before="170"/>
        <w:ind w:left="0"/>
      </w:pPr>
      <w:r w:rsidRPr="00D21D1C">
        <w:rPr>
          <w:color w:val="337AB7"/>
        </w:rPr>
        <w:t xml:space="preserve">On the </w:t>
      </w:r>
      <w:r w:rsidR="00D244D7">
        <w:rPr>
          <w:color w:val="337AB7"/>
        </w:rPr>
        <w:t>existing and new potential</w:t>
      </w:r>
      <w:r w:rsidR="0070599D">
        <w:rPr>
          <w:color w:val="337AB7"/>
        </w:rPr>
        <w:t xml:space="preserve"> </w:t>
      </w:r>
      <w:r w:rsidRPr="00D21D1C">
        <w:rPr>
          <w:color w:val="337AB7"/>
        </w:rPr>
        <w:t xml:space="preserve">methods for Partial Discharge </w:t>
      </w:r>
      <w:r w:rsidR="0070599D">
        <w:rPr>
          <w:color w:val="337AB7"/>
        </w:rPr>
        <w:t xml:space="preserve">source </w:t>
      </w:r>
      <w:r w:rsidRPr="00D21D1C">
        <w:rPr>
          <w:color w:val="337AB7"/>
        </w:rPr>
        <w:t>detection</w:t>
      </w:r>
    </w:p>
    <w:p w14:paraId="422DA4D3" w14:textId="024F8E1E" w:rsidR="00D21D1C" w:rsidRDefault="00D21D1C" w:rsidP="00F8521A">
      <w:pPr>
        <w:pStyle w:val="BodyText"/>
        <w:spacing w:before="73" w:line="198" w:lineRule="exact"/>
        <w:ind w:left="100" w:right="430"/>
        <w:jc w:val="both"/>
        <w:rPr>
          <w:rFonts w:ascii="Arial"/>
        </w:rPr>
      </w:pPr>
      <w:r>
        <w:rPr>
          <w:rFonts w:ascii="Arial"/>
        </w:rPr>
        <w:t xml:space="preserve">Denis </w:t>
      </w:r>
      <w:proofErr w:type="spellStart"/>
      <w:r>
        <w:rPr>
          <w:rFonts w:ascii="Arial"/>
        </w:rPr>
        <w:t>Stanescu</w:t>
      </w:r>
      <w:proofErr w:type="spellEnd"/>
      <w:r>
        <w:rPr>
          <w:rFonts w:ascii="Arial"/>
        </w:rPr>
        <w:t>, M</w:t>
      </w:r>
      <w:r w:rsidR="00760997">
        <w:rPr>
          <w:rFonts w:ascii="Arial"/>
        </w:rPr>
        <w:t>.S.</w:t>
      </w:r>
      <w:r w:rsidR="005973B9">
        <w:rPr>
          <w:rFonts w:ascii="Arial"/>
        </w:rPr>
        <w:t xml:space="preserve">, </w:t>
      </w:r>
      <w:r w:rsidR="0070599D">
        <w:rPr>
          <w:rFonts w:ascii="Arial"/>
        </w:rPr>
        <w:t xml:space="preserve">University of Grenoble Alpes, GIPSA-lab and </w:t>
      </w:r>
      <w:r>
        <w:rPr>
          <w:rFonts w:ascii="Arial"/>
        </w:rPr>
        <w:t>Military Technical Academy</w:t>
      </w:r>
      <w:r>
        <w:rPr>
          <w:rFonts w:ascii="Arial" w:hAnsi="Arial" w:cs="Arial"/>
        </w:rPr>
        <w:t xml:space="preserve"> “Ferdinand I”</w:t>
      </w:r>
      <w:r>
        <w:rPr>
          <w:rFonts w:ascii="Arial"/>
        </w:rPr>
        <w:t>, Romania</w:t>
      </w:r>
      <w:r w:rsidR="005973B9">
        <w:rPr>
          <w:rFonts w:ascii="Arial"/>
        </w:rPr>
        <w:t xml:space="preserve"> </w:t>
      </w:r>
    </w:p>
    <w:p w14:paraId="6C190E4A" w14:textId="1881F0C4" w:rsidR="005973B9" w:rsidRPr="00D21D1C" w:rsidRDefault="00D21D1C" w:rsidP="00F8521A">
      <w:pPr>
        <w:pStyle w:val="BodyText"/>
        <w:spacing w:line="198" w:lineRule="exact"/>
        <w:ind w:left="101" w:right="250"/>
        <w:jc w:val="both"/>
        <w:rPr>
          <w:rFonts w:ascii="Arial"/>
        </w:rPr>
      </w:pPr>
      <w:r w:rsidRPr="00D21D1C">
        <w:rPr>
          <w:rFonts w:ascii="Arial"/>
        </w:rPr>
        <w:t xml:space="preserve">Angela </w:t>
      </w:r>
      <w:proofErr w:type="spellStart"/>
      <w:r w:rsidRPr="00D21D1C">
        <w:rPr>
          <w:rFonts w:ascii="Arial"/>
        </w:rPr>
        <w:t>Digulescu</w:t>
      </w:r>
      <w:proofErr w:type="spellEnd"/>
      <w:r w:rsidRPr="00D21D1C">
        <w:rPr>
          <w:rFonts w:ascii="Arial"/>
        </w:rPr>
        <w:t xml:space="preserve">, </w:t>
      </w:r>
      <w:r w:rsidR="005973B9" w:rsidRPr="00D21D1C">
        <w:rPr>
          <w:rFonts w:ascii="Arial"/>
        </w:rPr>
        <w:t xml:space="preserve">PhD, </w:t>
      </w:r>
      <w:r w:rsidR="0070599D">
        <w:rPr>
          <w:rFonts w:ascii="Arial"/>
        </w:rPr>
        <w:t xml:space="preserve">University of Grenoble Alpes, GIPSA-lab and </w:t>
      </w:r>
      <w:r>
        <w:rPr>
          <w:rFonts w:ascii="Arial"/>
        </w:rPr>
        <w:t>Military Technical Academy</w:t>
      </w:r>
      <w:r>
        <w:rPr>
          <w:rFonts w:ascii="Arial" w:hAnsi="Arial" w:cs="Arial"/>
        </w:rPr>
        <w:t xml:space="preserve"> “Ferdinand I”</w:t>
      </w:r>
      <w:r>
        <w:rPr>
          <w:rFonts w:ascii="Arial"/>
        </w:rPr>
        <w:t>, Romania</w:t>
      </w:r>
    </w:p>
    <w:p w14:paraId="18460C58" w14:textId="2E430959" w:rsidR="00D21D1C" w:rsidRPr="00D21D1C" w:rsidRDefault="00D21D1C" w:rsidP="001B731B">
      <w:pPr>
        <w:pStyle w:val="BodyText"/>
        <w:spacing w:line="198" w:lineRule="exact"/>
        <w:ind w:left="101" w:right="5290"/>
        <w:jc w:val="both"/>
        <w:rPr>
          <w:rFonts w:ascii="Arial"/>
        </w:rPr>
      </w:pPr>
      <w:r>
        <w:rPr>
          <w:rFonts w:ascii="Arial"/>
        </w:rPr>
        <w:t xml:space="preserve">Cornel Ioana, </w:t>
      </w:r>
      <w:r w:rsidRPr="00D21D1C">
        <w:rPr>
          <w:rFonts w:ascii="Arial"/>
        </w:rPr>
        <w:t xml:space="preserve">PhD, </w:t>
      </w:r>
      <w:r w:rsidR="0070599D">
        <w:rPr>
          <w:rFonts w:ascii="Arial"/>
        </w:rPr>
        <w:t xml:space="preserve">University of Grenoble </w:t>
      </w:r>
      <w:proofErr w:type="spellStart"/>
      <w:r w:rsidR="0070599D">
        <w:rPr>
          <w:rFonts w:ascii="Arial"/>
        </w:rPr>
        <w:t>Alpes</w:t>
      </w:r>
      <w:proofErr w:type="spellEnd"/>
      <w:r w:rsidR="0070599D">
        <w:rPr>
          <w:rFonts w:ascii="Arial"/>
        </w:rPr>
        <w:t>, GIPSA-lab and</w:t>
      </w:r>
    </w:p>
    <w:p w14:paraId="52544F54" w14:textId="77777777" w:rsidR="00D21D1C" w:rsidRPr="00D21D1C" w:rsidRDefault="00D21D1C" w:rsidP="001B731B">
      <w:pPr>
        <w:pStyle w:val="BodyText"/>
        <w:spacing w:line="198" w:lineRule="exact"/>
        <w:ind w:left="101" w:right="3940"/>
        <w:jc w:val="both"/>
        <w:rPr>
          <w:rFonts w:ascii="Arial"/>
        </w:rPr>
      </w:pPr>
      <w:proofErr w:type="spellStart"/>
      <w:r w:rsidRPr="00D21D1C">
        <w:rPr>
          <w:rFonts w:ascii="Arial"/>
        </w:rPr>
        <w:t>Alexandru</w:t>
      </w:r>
      <w:proofErr w:type="spellEnd"/>
      <w:r w:rsidRPr="00D21D1C">
        <w:rPr>
          <w:rFonts w:ascii="Arial"/>
        </w:rPr>
        <w:t xml:space="preserve"> </w:t>
      </w:r>
      <w:proofErr w:type="spellStart"/>
      <w:r w:rsidRPr="00D21D1C">
        <w:rPr>
          <w:rFonts w:ascii="Arial"/>
        </w:rPr>
        <w:t>Serbanescu</w:t>
      </w:r>
      <w:proofErr w:type="spellEnd"/>
      <w:r w:rsidRPr="00D21D1C">
        <w:rPr>
          <w:rFonts w:ascii="Arial"/>
        </w:rPr>
        <w:t xml:space="preserve">, PhD, </w:t>
      </w:r>
      <w:r>
        <w:rPr>
          <w:rFonts w:ascii="Arial"/>
        </w:rPr>
        <w:t>Military Technical Academy</w:t>
      </w:r>
      <w:r>
        <w:rPr>
          <w:rFonts w:ascii="Arial" w:hAnsi="Arial" w:cs="Arial"/>
        </w:rPr>
        <w:t xml:space="preserve"> “Ferdinand I”</w:t>
      </w:r>
      <w:r>
        <w:rPr>
          <w:rFonts w:ascii="Arial"/>
        </w:rPr>
        <w:t>, Romania</w:t>
      </w:r>
    </w:p>
    <w:p w14:paraId="07742EAC" w14:textId="77777777" w:rsidR="00AE3E37" w:rsidRPr="00D21D1C" w:rsidRDefault="00AE3E37">
      <w:pPr>
        <w:pStyle w:val="BodyText"/>
        <w:rPr>
          <w:rFonts w:ascii="Arial"/>
          <w:sz w:val="20"/>
        </w:rPr>
      </w:pPr>
    </w:p>
    <w:p w14:paraId="218BF3D1" w14:textId="77777777" w:rsidR="00AE3E37" w:rsidRPr="00D21D1C" w:rsidRDefault="00AE3E37">
      <w:pPr>
        <w:rPr>
          <w:rFonts w:ascii="Arial"/>
          <w:sz w:val="21"/>
        </w:rPr>
        <w:sectPr w:rsidR="00AE3E37" w:rsidRPr="00D21D1C">
          <w:headerReference w:type="default" r:id="rId9"/>
          <w:footerReference w:type="default" r:id="rId10"/>
          <w:type w:val="continuous"/>
          <w:pgSz w:w="11910" w:h="16840"/>
          <w:pgMar w:top="1740" w:right="600" w:bottom="840" w:left="620" w:header="541" w:footer="642" w:gutter="0"/>
          <w:cols w:space="720"/>
        </w:sectPr>
      </w:pPr>
    </w:p>
    <w:p w14:paraId="11155300" w14:textId="53BE6F1C" w:rsidR="00AE3E37" w:rsidRDefault="00A9710C" w:rsidP="0004533D">
      <w:pPr>
        <w:pStyle w:val="Heading3"/>
        <w:spacing w:before="147"/>
        <w:ind w:left="101"/>
        <w:jc w:val="both"/>
      </w:pPr>
      <w:r>
        <w:rPr>
          <w:color w:val="BF5A14"/>
        </w:rPr>
        <w:lastRenderedPageBreak/>
        <w:t>Abstract</w:t>
      </w:r>
    </w:p>
    <w:p w14:paraId="2B377265" w14:textId="4D3DFA24" w:rsidR="00743D50" w:rsidRPr="001B731B" w:rsidRDefault="000B2522" w:rsidP="001B731B">
      <w:pPr>
        <w:spacing w:before="90" w:line="281" w:lineRule="auto"/>
        <w:ind w:left="86"/>
        <w:jc w:val="both"/>
      </w:pPr>
      <w:r w:rsidRPr="000B2522">
        <w:rPr>
          <w:sz w:val="18"/>
          <w:szCs w:val="18"/>
        </w:rPr>
        <w:t xml:space="preserve">Energy transmission and distribution networks face an increase in the number of electrical cables used. In such networks the occurrence of </w:t>
      </w:r>
      <w:r w:rsidR="0070599D">
        <w:rPr>
          <w:sz w:val="18"/>
          <w:szCs w:val="18"/>
        </w:rPr>
        <w:t>defaults</w:t>
      </w:r>
      <w:r w:rsidR="0070599D" w:rsidRPr="000B2522">
        <w:rPr>
          <w:sz w:val="18"/>
          <w:szCs w:val="18"/>
        </w:rPr>
        <w:t xml:space="preserve"> </w:t>
      </w:r>
      <w:r w:rsidRPr="000B2522">
        <w:rPr>
          <w:sz w:val="18"/>
          <w:szCs w:val="18"/>
        </w:rPr>
        <w:t xml:space="preserve">given by the type of </w:t>
      </w:r>
      <w:r w:rsidR="0070599D">
        <w:rPr>
          <w:sz w:val="18"/>
          <w:szCs w:val="18"/>
        </w:rPr>
        <w:t xml:space="preserve">used </w:t>
      </w:r>
      <w:r w:rsidRPr="000B2522">
        <w:rPr>
          <w:sz w:val="18"/>
          <w:szCs w:val="18"/>
        </w:rPr>
        <w:t>cable</w:t>
      </w:r>
      <w:r w:rsidR="0070599D">
        <w:rPr>
          <w:sz w:val="18"/>
          <w:szCs w:val="18"/>
        </w:rPr>
        <w:t>,</w:t>
      </w:r>
      <w:r w:rsidRPr="000B2522">
        <w:rPr>
          <w:sz w:val="18"/>
          <w:szCs w:val="18"/>
        </w:rPr>
        <w:t xml:space="preserve"> the structure and network capacity, voltage levels, and related environmental conditions</w:t>
      </w:r>
      <w:r w:rsidR="0070599D">
        <w:rPr>
          <w:sz w:val="18"/>
          <w:szCs w:val="18"/>
        </w:rPr>
        <w:t xml:space="preserve"> </w:t>
      </w:r>
      <w:r w:rsidR="0070599D" w:rsidRPr="000B2522">
        <w:rPr>
          <w:sz w:val="18"/>
          <w:szCs w:val="18"/>
        </w:rPr>
        <w:t>is inevitable</w:t>
      </w:r>
      <w:r w:rsidRPr="000B2522">
        <w:rPr>
          <w:sz w:val="18"/>
          <w:szCs w:val="18"/>
        </w:rPr>
        <w:t xml:space="preserve">. </w:t>
      </w:r>
      <w:r w:rsidR="00743D50" w:rsidRPr="001B731B">
        <w:rPr>
          <w:sz w:val="18"/>
          <w:szCs w:val="18"/>
        </w:rPr>
        <w:t>The difficulties of predictive maintenance of power grids are related to the large spread of electrical infrastructures and the definition of early warning indicators. Such indicator is the partial discharge activities very informative about the rising insulation problems of electrical materials.  The monitoring of such phenomena is nowadays important field in the power transmission and distribution</w:t>
      </w:r>
      <w:r w:rsidR="00447C4E" w:rsidRPr="001B731B">
        <w:rPr>
          <w:sz w:val="18"/>
          <w:szCs w:val="18"/>
        </w:rPr>
        <w:t xml:space="preserve"> [1]</w:t>
      </w:r>
      <w:r w:rsidR="00743D50" w:rsidRPr="001B731B">
        <w:rPr>
          <w:sz w:val="18"/>
          <w:szCs w:val="18"/>
        </w:rPr>
        <w:t xml:space="preserve">. </w:t>
      </w:r>
      <w:r w:rsidRPr="000B2522">
        <w:rPr>
          <w:sz w:val="18"/>
          <w:szCs w:val="18"/>
        </w:rPr>
        <w:t xml:space="preserve">The purpose of this paper is </w:t>
      </w:r>
      <w:r w:rsidR="00743D50">
        <w:rPr>
          <w:sz w:val="18"/>
          <w:szCs w:val="18"/>
        </w:rPr>
        <w:t>to study different techniques for the detection</w:t>
      </w:r>
      <w:r w:rsidRPr="000B2522">
        <w:rPr>
          <w:sz w:val="18"/>
          <w:szCs w:val="18"/>
        </w:rPr>
        <w:t xml:space="preserve"> transient signals in the context of monitoring </w:t>
      </w:r>
      <w:r w:rsidR="00743D50">
        <w:rPr>
          <w:sz w:val="18"/>
          <w:szCs w:val="18"/>
        </w:rPr>
        <w:t xml:space="preserve">partial discharges in </w:t>
      </w:r>
      <w:r w:rsidRPr="000B2522">
        <w:rPr>
          <w:sz w:val="18"/>
          <w:szCs w:val="18"/>
        </w:rPr>
        <w:t>electrical networks</w:t>
      </w:r>
      <w:r w:rsidR="00F8521A">
        <w:rPr>
          <w:sz w:val="18"/>
          <w:szCs w:val="18"/>
        </w:rPr>
        <w:t>.</w:t>
      </w:r>
      <w:r>
        <w:rPr>
          <w:sz w:val="18"/>
          <w:szCs w:val="18"/>
        </w:rPr>
        <w:t xml:space="preserve"> </w:t>
      </w:r>
      <w:r w:rsidR="00743D50">
        <w:rPr>
          <w:sz w:val="18"/>
          <w:szCs w:val="18"/>
        </w:rPr>
        <w:t>Among the various techniques developed and used for the detection of partial discharges, we will focus here on four classes of methods, encountered in existing products, for two of them</w:t>
      </w:r>
      <w:r w:rsidR="00447C4E">
        <w:rPr>
          <w:sz w:val="18"/>
          <w:szCs w:val="18"/>
        </w:rPr>
        <w:t xml:space="preserve"> [2], [3]</w:t>
      </w:r>
      <w:r w:rsidR="00743D50">
        <w:rPr>
          <w:sz w:val="18"/>
          <w:szCs w:val="18"/>
        </w:rPr>
        <w:t xml:space="preserve">, and </w:t>
      </w:r>
      <w:r w:rsidR="00447C4E">
        <w:rPr>
          <w:sz w:val="18"/>
          <w:szCs w:val="18"/>
        </w:rPr>
        <w:t>two new techniques th</w:t>
      </w:r>
      <w:r w:rsidR="00F8521A">
        <w:rPr>
          <w:sz w:val="18"/>
          <w:szCs w:val="18"/>
        </w:rPr>
        <w:t>at are based on recent concepts</w:t>
      </w:r>
      <w:r w:rsidR="00447C4E">
        <w:rPr>
          <w:sz w:val="18"/>
          <w:szCs w:val="18"/>
        </w:rPr>
        <w:t>: compressive sensing</w:t>
      </w:r>
      <w:r w:rsidR="00D244D7">
        <w:rPr>
          <w:sz w:val="18"/>
          <w:szCs w:val="18"/>
        </w:rPr>
        <w:t xml:space="preserve"> </w:t>
      </w:r>
      <w:r w:rsidR="00447C4E">
        <w:rPr>
          <w:sz w:val="18"/>
          <w:szCs w:val="18"/>
        </w:rPr>
        <w:t>[4]</w:t>
      </w:r>
      <w:r w:rsidR="00D244D7">
        <w:rPr>
          <w:sz w:val="18"/>
          <w:szCs w:val="18"/>
        </w:rPr>
        <w:t>, [5]</w:t>
      </w:r>
      <w:r w:rsidR="00447C4E">
        <w:rPr>
          <w:sz w:val="18"/>
          <w:szCs w:val="18"/>
        </w:rPr>
        <w:t xml:space="preserve"> and</w:t>
      </w:r>
      <w:r w:rsidR="00F8521A">
        <w:rPr>
          <w:sz w:val="18"/>
          <w:szCs w:val="18"/>
        </w:rPr>
        <w:t xml:space="preserve"> phase-diagram</w:t>
      </w:r>
      <w:r w:rsidR="00D244D7">
        <w:rPr>
          <w:sz w:val="18"/>
          <w:szCs w:val="18"/>
        </w:rPr>
        <w:t>-based analysis [6]. The comparative study concerns the evaluation of the probability of detection vers</w:t>
      </w:r>
      <w:r w:rsidR="001B731B">
        <w:rPr>
          <w:sz w:val="18"/>
          <w:szCs w:val="18"/>
        </w:rPr>
        <w:t>us false alarm</w:t>
      </w:r>
      <w:r w:rsidR="00D244D7">
        <w:rPr>
          <w:sz w:val="18"/>
          <w:szCs w:val="18"/>
        </w:rPr>
        <w:t xml:space="preserve"> ratio for real signals generated in a reduced scale experimental facility described in the next figure. That is, thanks to this experimental facility typical for real life configurations, we are able to add to the partial discharge signals perturbations such as load signals, </w:t>
      </w:r>
      <w:proofErr w:type="spellStart"/>
      <w:r w:rsidR="00D244D7">
        <w:rPr>
          <w:sz w:val="18"/>
          <w:szCs w:val="18"/>
        </w:rPr>
        <w:t>reflexions</w:t>
      </w:r>
      <w:proofErr w:type="spellEnd"/>
      <w:r w:rsidR="00D244D7">
        <w:rPr>
          <w:sz w:val="18"/>
          <w:szCs w:val="18"/>
        </w:rPr>
        <w:t xml:space="preserve"> but also the effect of propagation effects in a real electrical cable. </w:t>
      </w:r>
    </w:p>
    <w:p w14:paraId="7A1DD1B5" w14:textId="4F231F0C" w:rsidR="00B04E68" w:rsidRPr="001B731B" w:rsidRDefault="00B04E68" w:rsidP="00743454">
      <w:pPr>
        <w:spacing w:before="90" w:line="281" w:lineRule="auto"/>
        <w:ind w:left="86"/>
        <w:jc w:val="both"/>
        <w:rPr>
          <w:sz w:val="18"/>
          <w:szCs w:val="18"/>
        </w:rPr>
      </w:pPr>
    </w:p>
    <w:p w14:paraId="6502FB1F" w14:textId="77777777" w:rsidR="00AE3E37" w:rsidRDefault="00A9710C">
      <w:pPr>
        <w:pStyle w:val="Heading3"/>
        <w:spacing w:before="74"/>
      </w:pPr>
      <w:r>
        <w:rPr>
          <w:b w:val="0"/>
        </w:rPr>
        <w:br w:type="column"/>
      </w:r>
      <w:r>
        <w:rPr>
          <w:color w:val="BF5A14"/>
        </w:rPr>
        <w:lastRenderedPageBreak/>
        <w:t>Image</w:t>
      </w:r>
    </w:p>
    <w:p w14:paraId="3E68C388" w14:textId="77777777" w:rsidR="00AE3E37" w:rsidRDefault="00BE0BDA">
      <w:pPr>
        <w:pStyle w:val="BodyText"/>
        <w:spacing w:before="2"/>
        <w:rPr>
          <w:rFonts w:ascii="Arial"/>
          <w:b/>
          <w:sz w:val="16"/>
        </w:rPr>
      </w:pPr>
      <w:r>
        <w:rPr>
          <w:rFonts w:ascii="Arial"/>
          <w:b/>
          <w:noProof/>
          <w:sz w:val="16"/>
        </w:rPr>
        <w:drawing>
          <wp:inline distT="0" distB="0" distL="0" distR="0" wp14:anchorId="5BF928D4" wp14:editId="00A043C8">
            <wp:extent cx="3363402" cy="1698231"/>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11">
                      <a:extLst>
                        <a:ext uri="{28A0092B-C50C-407E-A947-70E740481C1C}">
                          <a14:useLocalDpi xmlns:a14="http://schemas.microsoft.com/office/drawing/2010/main" val="0"/>
                        </a:ext>
                      </a:extLst>
                    </a:blip>
                    <a:stretch>
                      <a:fillRect/>
                    </a:stretch>
                  </pic:blipFill>
                  <pic:spPr>
                    <a:xfrm>
                      <a:off x="0" y="0"/>
                      <a:ext cx="3368178" cy="1700642"/>
                    </a:xfrm>
                    <a:prstGeom prst="rect">
                      <a:avLst/>
                    </a:prstGeom>
                  </pic:spPr>
                </pic:pic>
              </a:graphicData>
            </a:graphic>
          </wp:inline>
        </w:drawing>
      </w:r>
    </w:p>
    <w:p w14:paraId="54220821" w14:textId="116AE2AF" w:rsidR="00BE0BDA" w:rsidRPr="00BE0BDA" w:rsidRDefault="00BE0BDA" w:rsidP="00BE0BDA">
      <w:pPr>
        <w:pStyle w:val="Heading5"/>
        <w:shd w:val="clear" w:color="auto" w:fill="FFFFFF"/>
        <w:spacing w:before="0"/>
        <w:jc w:val="both"/>
        <w:rPr>
          <w:rFonts w:ascii="Tw Cen MT" w:eastAsia="Tw Cen MT" w:hAnsi="Tw Cen MT" w:cs="Tw Cen MT"/>
          <w:color w:val="auto"/>
          <w:sz w:val="18"/>
          <w:szCs w:val="18"/>
        </w:rPr>
      </w:pPr>
      <w:r w:rsidRPr="00757300">
        <w:rPr>
          <w:rFonts w:ascii="Tw Cen MT" w:eastAsia="Tw Cen MT" w:hAnsi="Tw Cen MT" w:cs="Tw Cen MT"/>
          <w:b/>
          <w:color w:val="auto"/>
          <w:sz w:val="18"/>
          <w:szCs w:val="18"/>
        </w:rPr>
        <w:t>Figure</w:t>
      </w:r>
      <w:r w:rsidR="00757300">
        <w:rPr>
          <w:rFonts w:ascii="Tw Cen MT" w:eastAsia="Tw Cen MT" w:hAnsi="Tw Cen MT" w:cs="Tw Cen MT"/>
          <w:b/>
          <w:color w:val="auto"/>
          <w:sz w:val="18"/>
          <w:szCs w:val="18"/>
        </w:rPr>
        <w:t xml:space="preserve"> </w:t>
      </w:r>
      <w:r w:rsidRPr="00757300">
        <w:rPr>
          <w:rFonts w:ascii="Tw Cen MT" w:eastAsia="Tw Cen MT" w:hAnsi="Tw Cen MT" w:cs="Tw Cen MT"/>
          <w:b/>
          <w:color w:val="auto"/>
          <w:sz w:val="18"/>
          <w:szCs w:val="18"/>
        </w:rPr>
        <w:t>1</w:t>
      </w:r>
      <w:r w:rsidR="00757300">
        <w:rPr>
          <w:rFonts w:ascii="Tw Cen MT" w:eastAsia="Tw Cen MT" w:hAnsi="Tw Cen MT" w:cs="Tw Cen MT"/>
          <w:color w:val="auto"/>
          <w:sz w:val="18"/>
          <w:szCs w:val="18"/>
        </w:rPr>
        <w:t>:</w:t>
      </w:r>
      <w:r>
        <w:rPr>
          <w:rFonts w:ascii="Tw Cen MT" w:eastAsia="Tw Cen MT" w:hAnsi="Tw Cen MT" w:cs="Tw Cen MT"/>
          <w:color w:val="auto"/>
          <w:sz w:val="18"/>
          <w:szCs w:val="18"/>
        </w:rPr>
        <w:t xml:space="preserve"> </w:t>
      </w:r>
      <w:r w:rsidRPr="00BE0BDA">
        <w:rPr>
          <w:rFonts w:ascii="Tw Cen MT" w:eastAsia="Tw Cen MT" w:hAnsi="Tw Cen MT" w:cs="Tw Cen MT"/>
          <w:color w:val="auto"/>
          <w:sz w:val="18"/>
          <w:szCs w:val="18"/>
        </w:rPr>
        <w:t xml:space="preserve">Experimental facility: 914 meters length grid, three reduced scale substations (P1-P3), two loads (motor and heating circuit), one partial discharge source, three local </w:t>
      </w:r>
      <w:r w:rsidR="00BE05BF">
        <w:rPr>
          <w:rFonts w:ascii="Tw Cen MT" w:eastAsia="Tw Cen MT" w:hAnsi="Tw Cen MT" w:cs="Tw Cen MT"/>
          <w:color w:val="auto"/>
          <w:sz w:val="18"/>
          <w:szCs w:val="18"/>
        </w:rPr>
        <w:t>sensing units</w:t>
      </w:r>
      <w:r w:rsidRPr="00BE0BDA">
        <w:rPr>
          <w:rFonts w:ascii="Tw Cen MT" w:eastAsia="Tw Cen MT" w:hAnsi="Tw Cen MT" w:cs="Tw Cen MT"/>
          <w:color w:val="auto"/>
          <w:sz w:val="18"/>
          <w:szCs w:val="18"/>
        </w:rPr>
        <w:t>.</w:t>
      </w:r>
    </w:p>
    <w:p w14:paraId="389EBE05" w14:textId="75D8BDC0" w:rsidR="005973B9" w:rsidRDefault="00CE67B5" w:rsidP="005973B9">
      <w:pPr>
        <w:spacing w:line="204" w:lineRule="exact"/>
        <w:rPr>
          <w:rFonts w:ascii="Arial"/>
          <w:b/>
          <w:sz w:val="20"/>
        </w:rPr>
      </w:pPr>
      <w:r>
        <w:rPr>
          <w:rFonts w:ascii="Arial"/>
          <w:b/>
          <w:color w:val="BF5A14"/>
          <w:sz w:val="20"/>
        </w:rPr>
        <w:br/>
        <w:t xml:space="preserve">Recent Publications </w:t>
      </w:r>
    </w:p>
    <w:p w14:paraId="575A5AE0" w14:textId="35882796" w:rsidR="00447C4E" w:rsidRPr="001B731B" w:rsidRDefault="00447C4E" w:rsidP="00136258">
      <w:pPr>
        <w:pStyle w:val="Header"/>
        <w:tabs>
          <w:tab w:val="left" w:pos="360"/>
        </w:tabs>
        <w:ind w:left="360"/>
        <w:jc w:val="both"/>
        <w:rPr>
          <w:rFonts w:ascii="Calibri" w:eastAsia="Calibri" w:hAnsi="Calibri" w:cs="Calibri"/>
          <w:sz w:val="18"/>
        </w:rPr>
      </w:pPr>
      <w:r w:rsidRPr="001B731B">
        <w:rPr>
          <w:rFonts w:eastAsia="Calibri" w:cs="Calibri"/>
          <w:sz w:val="18"/>
          <w:szCs w:val="18"/>
        </w:rPr>
        <w:t>[</w:t>
      </w:r>
      <w:r w:rsidRPr="001B731B">
        <w:rPr>
          <w:rFonts w:ascii="Calibri" w:eastAsia="Calibri" w:hAnsi="Calibri" w:cs="Calibri"/>
          <w:sz w:val="18"/>
        </w:rPr>
        <w:t>1]</w:t>
      </w:r>
      <w:r w:rsidR="00760997">
        <w:rPr>
          <w:rFonts w:ascii="Calibri" w:eastAsia="Calibri" w:hAnsi="Calibri" w:cs="Calibri"/>
          <w:sz w:val="18"/>
        </w:rPr>
        <w:t xml:space="preserve">. G. </w:t>
      </w:r>
      <w:r w:rsidRPr="001B731B">
        <w:rPr>
          <w:rFonts w:ascii="Calibri" w:eastAsia="Calibri" w:hAnsi="Calibri" w:cs="Calibri"/>
          <w:sz w:val="18"/>
        </w:rPr>
        <w:t>C. Stone, “Partial Discharge Diagnostics and Electrical Equipment Insulation Condition Assessment”, IEEE Transactions on Dielectrics Electrical and Insulation, Vol. 12, pp. 891-903 (2005).</w:t>
      </w:r>
    </w:p>
    <w:p w14:paraId="3D9A9697" w14:textId="66FDC588" w:rsidR="00447C4E" w:rsidRPr="001B731B" w:rsidRDefault="00760997" w:rsidP="00760997">
      <w:pPr>
        <w:pStyle w:val="Header"/>
        <w:tabs>
          <w:tab w:val="left" w:pos="360"/>
        </w:tabs>
        <w:ind w:left="360"/>
        <w:jc w:val="both"/>
        <w:rPr>
          <w:rFonts w:ascii="Calibri" w:eastAsia="Calibri" w:hAnsi="Calibri" w:cs="Calibri"/>
          <w:sz w:val="18"/>
        </w:rPr>
      </w:pPr>
      <w:r>
        <w:rPr>
          <w:rFonts w:ascii="Calibri" w:eastAsia="Calibri" w:hAnsi="Calibri" w:cs="Calibri"/>
          <w:sz w:val="18"/>
        </w:rPr>
        <w:tab/>
      </w:r>
      <w:r w:rsidR="00447C4E" w:rsidRPr="001B731B">
        <w:rPr>
          <w:rFonts w:ascii="Calibri" w:eastAsia="Calibri" w:hAnsi="Calibri" w:cs="Calibri"/>
          <w:sz w:val="18"/>
        </w:rPr>
        <w:t>[2]</w:t>
      </w:r>
      <w:r>
        <w:rPr>
          <w:rFonts w:ascii="Calibri" w:eastAsia="Calibri" w:hAnsi="Calibri" w:cs="Calibri"/>
          <w:sz w:val="18"/>
        </w:rPr>
        <w:t xml:space="preserve">. </w:t>
      </w:r>
      <w:r w:rsidR="00447C4E" w:rsidRPr="001B731B">
        <w:rPr>
          <w:rFonts w:ascii="Calibri" w:eastAsia="Calibri" w:hAnsi="Calibri" w:cs="Calibri"/>
          <w:sz w:val="18"/>
        </w:rPr>
        <w:t xml:space="preserve">Bertrand </w:t>
      </w:r>
      <w:proofErr w:type="spellStart"/>
      <w:r w:rsidR="00447C4E" w:rsidRPr="001B731B">
        <w:rPr>
          <w:rFonts w:ascii="Calibri" w:eastAsia="Calibri" w:hAnsi="Calibri" w:cs="Calibri"/>
          <w:sz w:val="18"/>
        </w:rPr>
        <w:t>Gottin</w:t>
      </w:r>
      <w:proofErr w:type="spellEnd"/>
      <w:r w:rsidR="00447C4E" w:rsidRPr="001B731B">
        <w:rPr>
          <w:rFonts w:ascii="Calibri" w:eastAsia="Calibri" w:hAnsi="Calibri" w:cs="Calibri"/>
          <w:sz w:val="18"/>
        </w:rPr>
        <w:t xml:space="preserve">, Cornel </w:t>
      </w:r>
      <w:proofErr w:type="spellStart"/>
      <w:r w:rsidR="00447C4E" w:rsidRPr="001B731B">
        <w:rPr>
          <w:rFonts w:ascii="Calibri" w:eastAsia="Calibri" w:hAnsi="Calibri" w:cs="Calibri"/>
          <w:sz w:val="18"/>
        </w:rPr>
        <w:t>Ioana</w:t>
      </w:r>
      <w:proofErr w:type="spellEnd"/>
      <w:r w:rsidR="00447C4E" w:rsidRPr="001B731B">
        <w:rPr>
          <w:rFonts w:ascii="Calibri" w:eastAsia="Calibri" w:hAnsi="Calibri" w:cs="Calibri"/>
          <w:sz w:val="18"/>
        </w:rPr>
        <w:t xml:space="preserve">, Jocelyn </w:t>
      </w:r>
      <w:proofErr w:type="spellStart"/>
      <w:r w:rsidR="00447C4E" w:rsidRPr="001B731B">
        <w:rPr>
          <w:rFonts w:ascii="Calibri" w:eastAsia="Calibri" w:hAnsi="Calibri" w:cs="Calibri"/>
          <w:sz w:val="18"/>
        </w:rPr>
        <w:t>Chanussot</w:t>
      </w:r>
      <w:proofErr w:type="spellEnd"/>
      <w:r w:rsidR="00447C4E" w:rsidRPr="001B731B">
        <w:rPr>
          <w:rFonts w:ascii="Calibri" w:eastAsia="Calibri" w:hAnsi="Calibri" w:cs="Calibri"/>
          <w:sz w:val="18"/>
        </w:rPr>
        <w:t xml:space="preserve">, Guy </w:t>
      </w:r>
      <w:proofErr w:type="spellStart"/>
      <w:r w:rsidR="00447C4E" w:rsidRPr="001B731B">
        <w:rPr>
          <w:rFonts w:ascii="Calibri" w:eastAsia="Calibri" w:hAnsi="Calibri" w:cs="Calibri"/>
          <w:sz w:val="18"/>
        </w:rPr>
        <w:t>d'Urso</w:t>
      </w:r>
      <w:proofErr w:type="spellEnd"/>
      <w:r w:rsidR="00447C4E" w:rsidRPr="001B731B">
        <w:rPr>
          <w:rFonts w:ascii="Calibri" w:eastAsia="Calibri" w:hAnsi="Calibri" w:cs="Calibri"/>
          <w:sz w:val="18"/>
        </w:rPr>
        <w:t xml:space="preserve">, Thierry </w:t>
      </w:r>
      <w:proofErr w:type="spellStart"/>
      <w:r w:rsidR="00447C4E" w:rsidRPr="001B731B">
        <w:rPr>
          <w:rFonts w:ascii="Calibri" w:eastAsia="Calibri" w:hAnsi="Calibri" w:cs="Calibri"/>
          <w:sz w:val="18"/>
        </w:rPr>
        <w:t>Espilit</w:t>
      </w:r>
      <w:proofErr w:type="spellEnd"/>
      <w:r w:rsidR="00447C4E" w:rsidRPr="001B731B">
        <w:rPr>
          <w:rFonts w:ascii="Calibri" w:eastAsia="Calibri" w:hAnsi="Calibri" w:cs="Calibri"/>
          <w:sz w:val="18"/>
        </w:rPr>
        <w:t xml:space="preserve">. Detection and Localization of Transient Sources: Comparative Study of Complex-Lag Distribution Concept Versus Wavelets and Spectrogram-Based Methods. EURASIP Journal on Advances in Signal </w:t>
      </w:r>
      <w:r w:rsidR="00F8521A">
        <w:rPr>
          <w:rFonts w:ascii="Calibri" w:eastAsia="Calibri" w:hAnsi="Calibri" w:cs="Calibri"/>
          <w:sz w:val="18"/>
        </w:rPr>
        <w:t xml:space="preserve">Processing, </w:t>
      </w:r>
      <w:proofErr w:type="spellStart"/>
      <w:r w:rsidR="00F8521A">
        <w:rPr>
          <w:rFonts w:ascii="Calibri" w:eastAsia="Calibri" w:hAnsi="Calibri" w:cs="Calibri"/>
          <w:sz w:val="18"/>
        </w:rPr>
        <w:t>SpringerOpen</w:t>
      </w:r>
      <w:proofErr w:type="spellEnd"/>
      <w:r w:rsidR="00F8521A">
        <w:rPr>
          <w:rFonts w:ascii="Calibri" w:eastAsia="Calibri" w:hAnsi="Calibri" w:cs="Calibri"/>
          <w:sz w:val="18"/>
        </w:rPr>
        <w:t xml:space="preserve">, 2009, </w:t>
      </w:r>
      <w:proofErr w:type="spellStart"/>
      <w:r w:rsidR="00F8521A">
        <w:rPr>
          <w:rFonts w:ascii="Calibri" w:eastAsia="Calibri" w:hAnsi="Calibri" w:cs="Calibri"/>
          <w:sz w:val="18"/>
        </w:rPr>
        <w:t>pp.Article</w:t>
      </w:r>
      <w:proofErr w:type="spellEnd"/>
      <w:r w:rsidR="00F8521A">
        <w:rPr>
          <w:rFonts w:ascii="Calibri" w:eastAsia="Calibri" w:hAnsi="Calibri" w:cs="Calibri"/>
          <w:sz w:val="18"/>
        </w:rPr>
        <w:t xml:space="preserve"> ID 864185</w:t>
      </w:r>
    </w:p>
    <w:p w14:paraId="601885EE" w14:textId="7013A695" w:rsidR="00447C4E" w:rsidRPr="001B731B" w:rsidRDefault="00447C4E" w:rsidP="00760997">
      <w:pPr>
        <w:tabs>
          <w:tab w:val="left" w:pos="567"/>
        </w:tabs>
        <w:ind w:left="360"/>
        <w:jc w:val="both"/>
        <w:rPr>
          <w:rFonts w:ascii="Calibri" w:eastAsia="Calibri" w:hAnsi="Calibri" w:cs="Calibri"/>
          <w:sz w:val="18"/>
        </w:rPr>
      </w:pPr>
      <w:r w:rsidRPr="001B731B">
        <w:rPr>
          <w:rFonts w:ascii="Calibri" w:eastAsia="Calibri" w:hAnsi="Calibri" w:cs="Calibri"/>
          <w:sz w:val="18"/>
        </w:rPr>
        <w:t>[3]</w:t>
      </w:r>
      <w:r w:rsidR="00760997">
        <w:rPr>
          <w:rFonts w:ascii="Calibri" w:eastAsia="Calibri" w:hAnsi="Calibri" w:cs="Calibri"/>
          <w:sz w:val="18"/>
        </w:rPr>
        <w:t>.</w:t>
      </w:r>
      <w:r w:rsidRPr="001B731B">
        <w:rPr>
          <w:rFonts w:ascii="Calibri" w:eastAsia="Calibri" w:hAnsi="Calibri" w:cs="Calibri"/>
          <w:sz w:val="18"/>
        </w:rPr>
        <w:t xml:space="preserve"> Peter VAN DER WIELEN Fred STEENNIS, “First Field Experience of On-line Partial Discharge Monitoring of MV Cable Systems with location”, CIRED 2009, Prague, 2009. </w:t>
      </w:r>
    </w:p>
    <w:p w14:paraId="49C2250A" w14:textId="172DCE28" w:rsidR="00447C4E" w:rsidRPr="001B731B" w:rsidRDefault="00447C4E" w:rsidP="00760997">
      <w:pPr>
        <w:ind w:left="383" w:hanging="23"/>
        <w:jc w:val="both"/>
        <w:rPr>
          <w:rFonts w:ascii="Calibri" w:eastAsia="Calibri" w:hAnsi="Calibri" w:cs="Calibri"/>
          <w:sz w:val="18"/>
        </w:rPr>
      </w:pPr>
      <w:r w:rsidRPr="001B731B">
        <w:rPr>
          <w:rFonts w:ascii="Calibri" w:eastAsia="Calibri" w:hAnsi="Calibri" w:cs="Calibri"/>
          <w:sz w:val="18"/>
        </w:rPr>
        <w:t>[4]</w:t>
      </w:r>
      <w:r w:rsidR="00760997">
        <w:rPr>
          <w:rFonts w:ascii="Calibri" w:eastAsia="Calibri" w:hAnsi="Calibri" w:cs="Calibri"/>
          <w:sz w:val="18"/>
        </w:rPr>
        <w:t>.</w:t>
      </w:r>
      <w:r w:rsidRPr="001B731B">
        <w:rPr>
          <w:rFonts w:ascii="Calibri" w:eastAsia="Calibri" w:hAnsi="Calibri" w:cs="Calibri"/>
          <w:sz w:val="18"/>
        </w:rPr>
        <w:t xml:space="preserve"> I </w:t>
      </w:r>
      <w:proofErr w:type="spellStart"/>
      <w:r w:rsidRPr="001B731B">
        <w:rPr>
          <w:rFonts w:ascii="Calibri" w:eastAsia="Calibri" w:hAnsi="Calibri" w:cs="Calibri"/>
          <w:sz w:val="18"/>
        </w:rPr>
        <w:t>Stanković</w:t>
      </w:r>
      <w:proofErr w:type="spellEnd"/>
      <w:r w:rsidRPr="001B731B">
        <w:rPr>
          <w:rFonts w:ascii="Calibri" w:eastAsia="Calibri" w:hAnsi="Calibri" w:cs="Calibri"/>
          <w:sz w:val="18"/>
        </w:rPr>
        <w:t xml:space="preserve">, C </w:t>
      </w:r>
      <w:proofErr w:type="spellStart"/>
      <w:r w:rsidRPr="001B731B">
        <w:rPr>
          <w:rFonts w:ascii="Calibri" w:eastAsia="Calibri" w:hAnsi="Calibri" w:cs="Calibri"/>
          <w:sz w:val="18"/>
        </w:rPr>
        <w:t>Ioana</w:t>
      </w:r>
      <w:proofErr w:type="spellEnd"/>
      <w:r w:rsidRPr="001B731B">
        <w:rPr>
          <w:rFonts w:ascii="Calibri" w:eastAsia="Calibri" w:hAnsi="Calibri" w:cs="Calibri"/>
          <w:sz w:val="18"/>
        </w:rPr>
        <w:t xml:space="preserve">, M </w:t>
      </w:r>
      <w:proofErr w:type="spellStart"/>
      <w:r w:rsidRPr="001B731B">
        <w:rPr>
          <w:rFonts w:ascii="Calibri" w:eastAsia="Calibri" w:hAnsi="Calibri" w:cs="Calibri"/>
          <w:sz w:val="18"/>
        </w:rPr>
        <w:t>Daković</w:t>
      </w:r>
      <w:proofErr w:type="spellEnd"/>
      <w:r w:rsidRPr="001B731B">
        <w:rPr>
          <w:rFonts w:ascii="Calibri" w:eastAsia="Calibri" w:hAnsi="Calibri" w:cs="Calibri"/>
          <w:sz w:val="18"/>
        </w:rPr>
        <w:t xml:space="preserve"> , On the reconstruction of </w:t>
      </w:r>
      <w:proofErr w:type="spellStart"/>
      <w:r w:rsidRPr="001B731B">
        <w:rPr>
          <w:rFonts w:ascii="Calibri" w:eastAsia="Calibri" w:hAnsi="Calibri" w:cs="Calibri"/>
          <w:sz w:val="18"/>
        </w:rPr>
        <w:t>nonsparse</w:t>
      </w:r>
      <w:proofErr w:type="spellEnd"/>
      <w:r w:rsidRPr="001B731B">
        <w:rPr>
          <w:rFonts w:ascii="Calibri" w:eastAsia="Calibri" w:hAnsi="Calibri" w:cs="Calibri"/>
          <w:sz w:val="18"/>
        </w:rPr>
        <w:t xml:space="preserve"> time-frequency signals with sparsity constraint from a reduced set of samples, Signal Processing 142, 480-484</w:t>
      </w:r>
    </w:p>
    <w:p w14:paraId="7E31D4F5" w14:textId="09AF42DA" w:rsidR="005973B9" w:rsidRPr="00136258" w:rsidRDefault="00760997" w:rsidP="00760997">
      <w:pPr>
        <w:tabs>
          <w:tab w:val="left" w:pos="384"/>
        </w:tabs>
        <w:spacing w:line="216" w:lineRule="exact"/>
        <w:ind w:left="383" w:right="28"/>
        <w:jc w:val="both"/>
        <w:rPr>
          <w:rFonts w:ascii="Calibri" w:eastAsia="Calibri" w:hAnsi="Calibri" w:cs="Calibri"/>
          <w:sz w:val="18"/>
        </w:rPr>
      </w:pPr>
      <w:r w:rsidRPr="00136258">
        <w:rPr>
          <w:rFonts w:ascii="Calibri" w:eastAsia="Calibri" w:hAnsi="Calibri" w:cs="Calibri"/>
          <w:sz w:val="18"/>
        </w:rPr>
        <w:tab/>
      </w:r>
      <w:r w:rsidR="00447C4E" w:rsidRPr="00136258">
        <w:rPr>
          <w:rFonts w:ascii="Calibri" w:eastAsia="Calibri" w:hAnsi="Calibri" w:cs="Calibri"/>
          <w:sz w:val="18"/>
        </w:rPr>
        <w:t>[5]</w:t>
      </w:r>
      <w:r w:rsidRPr="00136258">
        <w:rPr>
          <w:rFonts w:ascii="Calibri" w:eastAsia="Calibri" w:hAnsi="Calibri" w:cs="Calibri"/>
          <w:sz w:val="18"/>
        </w:rPr>
        <w:t xml:space="preserve">. </w:t>
      </w:r>
      <w:proofErr w:type="spellStart"/>
      <w:r w:rsidR="00F57E22" w:rsidRPr="00136258">
        <w:rPr>
          <w:rFonts w:ascii="Calibri" w:eastAsia="Calibri" w:hAnsi="Calibri" w:cs="Calibri"/>
          <w:sz w:val="18"/>
        </w:rPr>
        <w:t>Isidora</w:t>
      </w:r>
      <w:proofErr w:type="spellEnd"/>
      <w:r w:rsidR="00F57E22" w:rsidRPr="00136258">
        <w:rPr>
          <w:rFonts w:ascii="Calibri" w:eastAsia="Calibri" w:hAnsi="Calibri" w:cs="Calibri"/>
          <w:sz w:val="18"/>
        </w:rPr>
        <w:t xml:space="preserve"> </w:t>
      </w:r>
      <w:proofErr w:type="spellStart"/>
      <w:r w:rsidR="00F57E22" w:rsidRPr="00136258">
        <w:rPr>
          <w:rFonts w:ascii="Calibri" w:eastAsia="Calibri" w:hAnsi="Calibri" w:cs="Calibri"/>
          <w:sz w:val="18"/>
        </w:rPr>
        <w:t>Stankovic</w:t>
      </w:r>
      <w:proofErr w:type="spellEnd"/>
      <w:r w:rsidR="00F57E22" w:rsidRPr="00136258">
        <w:rPr>
          <w:rFonts w:ascii="Calibri" w:eastAsia="Calibri" w:hAnsi="Calibri" w:cs="Calibri"/>
          <w:sz w:val="18"/>
        </w:rPr>
        <w:t xml:space="preserve">, Angela </w:t>
      </w:r>
      <w:proofErr w:type="spellStart"/>
      <w:r w:rsidR="00F57E22" w:rsidRPr="00136258">
        <w:rPr>
          <w:rFonts w:ascii="Calibri" w:eastAsia="Calibri" w:hAnsi="Calibri" w:cs="Calibri"/>
          <w:sz w:val="18"/>
        </w:rPr>
        <w:t>Digul</w:t>
      </w:r>
      <w:r w:rsidR="00B2454D" w:rsidRPr="00136258">
        <w:rPr>
          <w:rFonts w:ascii="Calibri" w:eastAsia="Calibri" w:hAnsi="Calibri" w:cs="Calibri"/>
          <w:sz w:val="18"/>
        </w:rPr>
        <w:t>escu</w:t>
      </w:r>
      <w:proofErr w:type="spellEnd"/>
      <w:r w:rsidR="00B2454D" w:rsidRPr="00136258">
        <w:rPr>
          <w:rFonts w:ascii="Calibri" w:eastAsia="Calibri" w:hAnsi="Calibri" w:cs="Calibri"/>
          <w:sz w:val="18"/>
        </w:rPr>
        <w:t xml:space="preserve">, Cornel </w:t>
      </w:r>
      <w:proofErr w:type="spellStart"/>
      <w:r w:rsidR="00B2454D" w:rsidRPr="00136258">
        <w:rPr>
          <w:rFonts w:ascii="Calibri" w:eastAsia="Calibri" w:hAnsi="Calibri" w:cs="Calibri"/>
          <w:sz w:val="18"/>
        </w:rPr>
        <w:t>Ioana</w:t>
      </w:r>
      <w:proofErr w:type="spellEnd"/>
      <w:r w:rsidR="00B2454D" w:rsidRPr="00136258">
        <w:rPr>
          <w:rFonts w:ascii="Calibri" w:eastAsia="Calibri" w:hAnsi="Calibri" w:cs="Calibri"/>
          <w:sz w:val="18"/>
        </w:rPr>
        <w:t xml:space="preserve">, Kevin </w:t>
      </w:r>
      <w:proofErr w:type="spellStart"/>
      <w:r w:rsidR="00B2454D" w:rsidRPr="00136258">
        <w:rPr>
          <w:rFonts w:ascii="Calibri" w:eastAsia="Calibri" w:hAnsi="Calibri" w:cs="Calibri"/>
          <w:sz w:val="18"/>
        </w:rPr>
        <w:t>Dayet</w:t>
      </w:r>
      <w:proofErr w:type="spellEnd"/>
      <w:r w:rsidR="00B2454D" w:rsidRPr="00136258">
        <w:rPr>
          <w:rFonts w:ascii="Calibri" w:eastAsia="Calibri" w:hAnsi="Calibri" w:cs="Calibri"/>
          <w:sz w:val="18"/>
        </w:rPr>
        <w:t>,</w:t>
      </w:r>
      <w:r w:rsidR="00F57E22" w:rsidRPr="00136258">
        <w:rPr>
          <w:rFonts w:ascii="Calibri" w:eastAsia="Calibri" w:hAnsi="Calibri" w:cs="Calibri"/>
          <w:sz w:val="18"/>
        </w:rPr>
        <w:t xml:space="preserve"> </w:t>
      </w:r>
      <w:r w:rsidR="00B2454D" w:rsidRPr="00136258">
        <w:rPr>
          <w:rFonts w:ascii="Calibri" w:eastAsia="Calibri" w:hAnsi="Calibri" w:cs="Calibri"/>
          <w:sz w:val="18"/>
        </w:rPr>
        <w:t>“</w:t>
      </w:r>
      <w:r w:rsidR="00F57E22" w:rsidRPr="00136258">
        <w:rPr>
          <w:rFonts w:ascii="Calibri" w:eastAsia="Calibri" w:hAnsi="Calibri" w:cs="Calibri"/>
          <w:sz w:val="18"/>
        </w:rPr>
        <w:t>Electric arc detection using compressive sensing</w:t>
      </w:r>
      <w:r w:rsidR="00B2454D" w:rsidRPr="00136258">
        <w:rPr>
          <w:rFonts w:ascii="Calibri" w:eastAsia="Calibri" w:hAnsi="Calibri" w:cs="Calibri"/>
          <w:sz w:val="18"/>
        </w:rPr>
        <w:t>”,</w:t>
      </w:r>
      <w:r w:rsidR="00F57E22" w:rsidRPr="00136258">
        <w:rPr>
          <w:rFonts w:ascii="Calibri" w:eastAsia="Calibri" w:hAnsi="Calibri" w:cs="Calibri"/>
          <w:sz w:val="18"/>
        </w:rPr>
        <w:t> GRETSI 2019, 2019, Lille</w:t>
      </w:r>
    </w:p>
    <w:p w14:paraId="5A0247D2" w14:textId="69D574C9" w:rsidR="00447C4E" w:rsidRDefault="00447C4E" w:rsidP="00760997">
      <w:pPr>
        <w:pStyle w:val="ListParagraph"/>
        <w:tabs>
          <w:tab w:val="left" w:pos="384"/>
        </w:tabs>
        <w:spacing w:before="0" w:line="216" w:lineRule="exact"/>
        <w:ind w:right="28" w:firstLine="0"/>
        <w:rPr>
          <w:sz w:val="18"/>
        </w:rPr>
      </w:pPr>
      <w:r w:rsidRPr="001B731B">
        <w:rPr>
          <w:sz w:val="18"/>
        </w:rPr>
        <w:t>[6]</w:t>
      </w:r>
      <w:r w:rsidR="00760997">
        <w:rPr>
          <w:sz w:val="18"/>
        </w:rPr>
        <w:t>.</w:t>
      </w:r>
      <w:r w:rsidRPr="001B731B">
        <w:rPr>
          <w:sz w:val="18"/>
        </w:rPr>
        <w:t xml:space="preserve"> </w:t>
      </w:r>
      <w:proofErr w:type="spellStart"/>
      <w:r w:rsidRPr="001B731B">
        <w:rPr>
          <w:sz w:val="18"/>
        </w:rPr>
        <w:t>Digulescu</w:t>
      </w:r>
      <w:proofErr w:type="spellEnd"/>
      <w:r w:rsidRPr="001B731B">
        <w:rPr>
          <w:sz w:val="18"/>
        </w:rPr>
        <w:t xml:space="preserve"> A, </w:t>
      </w:r>
      <w:proofErr w:type="spellStart"/>
      <w:r w:rsidRPr="001B731B">
        <w:rPr>
          <w:sz w:val="18"/>
        </w:rPr>
        <w:t>Ioana</w:t>
      </w:r>
      <w:proofErr w:type="spellEnd"/>
      <w:r w:rsidRPr="001B731B">
        <w:rPr>
          <w:sz w:val="18"/>
        </w:rPr>
        <w:t xml:space="preserve"> C,</w:t>
      </w:r>
      <w:r>
        <w:rPr>
          <w:sz w:val="18"/>
        </w:rPr>
        <w:t xml:space="preserve"> </w:t>
      </w:r>
      <w:proofErr w:type="spellStart"/>
      <w:r>
        <w:rPr>
          <w:sz w:val="18"/>
        </w:rPr>
        <w:t>Serbanescu</w:t>
      </w:r>
      <w:proofErr w:type="spellEnd"/>
      <w:r>
        <w:rPr>
          <w:sz w:val="18"/>
        </w:rPr>
        <w:t xml:space="preserve"> A, “</w:t>
      </w:r>
      <w:r w:rsidRPr="00A33732">
        <w:rPr>
          <w:sz w:val="18"/>
        </w:rPr>
        <w:t>Phase Diagram-Based Sensing with Adaptive Waveform Design and   Recurrent States Quantification for the Instantaneous Frequency Law Tracking</w:t>
      </w:r>
      <w:r>
        <w:rPr>
          <w:sz w:val="18"/>
        </w:rPr>
        <w:t xml:space="preserve">”, Sensors (Basel), </w:t>
      </w:r>
      <w:r w:rsidRPr="00A33732">
        <w:rPr>
          <w:sz w:val="18"/>
        </w:rPr>
        <w:t xml:space="preserve">2019 </w:t>
      </w:r>
      <w:r>
        <w:rPr>
          <w:sz w:val="18"/>
        </w:rPr>
        <w:t>May 28</w:t>
      </w:r>
    </w:p>
    <w:p w14:paraId="36CCF715" w14:textId="77777777" w:rsidR="00AE3E37" w:rsidRDefault="00AE3E37" w:rsidP="00F8521A">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702FA509" w14:textId="77777777" w:rsidR="00AE3E37" w:rsidRDefault="00AE3E37" w:rsidP="00F8521A">
      <w:pPr>
        <w:pStyle w:val="BodyText"/>
        <w:jc w:val="both"/>
        <w:rPr>
          <w:rFonts w:ascii="Calibri"/>
          <w:sz w:val="20"/>
        </w:rPr>
      </w:pPr>
    </w:p>
    <w:p w14:paraId="6EDB4440"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F54FF50" wp14:editId="1AD3679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2A7BD28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CD6405C" w14:textId="3A291A33" w:rsidR="00AE3E37" w:rsidRDefault="008756E6" w:rsidP="00404E5B">
      <w:pPr>
        <w:spacing w:before="92"/>
        <w:ind w:right="4234"/>
        <w:rPr>
          <w:rFonts w:ascii="Arial"/>
        </w:rPr>
      </w:pPr>
      <w:r>
        <w:rPr>
          <w:noProof/>
        </w:rPr>
        <w:t xml:space="preserve">          </w:t>
      </w:r>
      <w:r w:rsidR="001B731B">
        <w:rPr>
          <w:noProof/>
        </w:rPr>
        <w:drawing>
          <wp:inline distT="0" distB="0" distL="0" distR="0" wp14:anchorId="25C0C516" wp14:editId="6F55AF69">
            <wp:extent cx="622169" cy="602522"/>
            <wp:effectExtent l="0" t="0" r="6985" b="762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27598" cy="607780"/>
                    </a:xfrm>
                    <a:prstGeom prst="rect">
                      <a:avLst/>
                    </a:prstGeom>
                  </pic:spPr>
                </pic:pic>
              </a:graphicData>
            </a:graphic>
          </wp:inline>
        </w:drawing>
      </w:r>
      <w:r>
        <w:rPr>
          <w:noProof/>
        </w:rPr>
        <w:t xml:space="preserve">    </w:t>
      </w:r>
      <w:r w:rsidR="00A9710C">
        <w:rPr>
          <w:rFonts w:ascii="Arial"/>
          <w:color w:val="BF5A14"/>
        </w:rPr>
        <w:t>Biography</w:t>
      </w:r>
      <w:r w:rsidR="00B6548E">
        <w:rPr>
          <w:rFonts w:ascii="Arial"/>
          <w:color w:val="BF5A14"/>
        </w:rPr>
        <w:t xml:space="preserve"> </w:t>
      </w:r>
      <w:bookmarkStart w:id="0" w:name="_GoBack"/>
      <w:bookmarkEnd w:id="0"/>
    </w:p>
    <w:p w14:paraId="4EA41714" w14:textId="2E96809F" w:rsidR="00AE3E37" w:rsidRPr="00F8521A" w:rsidRDefault="001B731B" w:rsidP="00F8521A">
      <w:pPr>
        <w:jc w:val="both"/>
        <w:rPr>
          <w:rFonts w:ascii="Arial" w:eastAsiaTheme="minorHAnsi" w:hAnsi="Times New Roman" w:cstheme="minorBidi"/>
          <w:sz w:val="14"/>
          <w:lang w:eastAsia="fr-FR"/>
        </w:rPr>
      </w:pPr>
      <w:r w:rsidRPr="001B731B">
        <w:rPr>
          <w:rFonts w:ascii="Arial" w:eastAsiaTheme="minorHAnsi" w:hAnsi="Times New Roman" w:cstheme="minorBidi"/>
          <w:sz w:val="14"/>
          <w:lang w:eastAsia="fr-FR"/>
        </w:rPr>
        <w:t xml:space="preserve">Cornel </w:t>
      </w:r>
      <w:proofErr w:type="spellStart"/>
      <w:r w:rsidRPr="001B731B">
        <w:rPr>
          <w:rFonts w:ascii="Arial" w:eastAsiaTheme="minorHAnsi" w:hAnsi="Times New Roman" w:cstheme="minorBidi"/>
          <w:sz w:val="14"/>
          <w:lang w:eastAsia="fr-FR"/>
        </w:rPr>
        <w:t>Ioana</w:t>
      </w:r>
      <w:proofErr w:type="spellEnd"/>
      <w:r w:rsidRPr="001B731B">
        <w:rPr>
          <w:rFonts w:ascii="Arial" w:eastAsiaTheme="minorHAnsi" w:hAnsi="Times New Roman" w:cstheme="minorBidi"/>
          <w:sz w:val="14"/>
          <w:lang w:eastAsia="fr-FR"/>
        </w:rPr>
        <w:t xml:space="preserve"> received the Dipl.-Eng. degree in electrical engineering from the Romanian Military Technical Academy of Bucharest, Romania, in 1999 and the M.S. degree in telecommunication science and the Ph.D. degree in the electrical engineering field, both from University of Brest-France, in 2001 and 2003, respectively. Between 2003 and 2006, he worked as Researcher in ENSTA-Bretagne, Brest, France. Since 2006, he has been an Associate Professor-Researcher with the Grenoble Institute of Technology/GIPSA-lab. His current research activity deals with the signal processing methods adapted to the natural phenomena. His scientific interests are nonstationary signal processing, natural process characterization, underwater systems, distributed sensing and artificial intelligences approaches applied to the surveillance of power systems and natural environments.</w:t>
      </w:r>
    </w:p>
    <w:p w14:paraId="54F028F8" w14:textId="77777777" w:rsidR="00F8521A" w:rsidRDefault="00A9710C" w:rsidP="00F8521A">
      <w:pPr>
        <w:tabs>
          <w:tab w:val="left" w:pos="7020"/>
        </w:tabs>
        <w:spacing w:before="62"/>
        <w:ind w:left="4217" w:right="3490"/>
        <w:jc w:val="center"/>
        <w:rPr>
          <w:rFonts w:ascii="Arial"/>
          <w:sz w:val="14"/>
          <w:lang w:val="fr-FR"/>
        </w:rPr>
      </w:pPr>
      <w:r w:rsidRPr="00F8521A">
        <w:rPr>
          <w:rFonts w:ascii="Arial"/>
          <w:sz w:val="14"/>
          <w:lang w:val="fr-FR"/>
        </w:rPr>
        <w:t xml:space="preserve">Email: </w:t>
      </w:r>
    </w:p>
    <w:p w14:paraId="081640B2" w14:textId="1C60A842" w:rsidR="00AE3E37" w:rsidRPr="00F8521A" w:rsidRDefault="00F8521A" w:rsidP="00F8521A">
      <w:pPr>
        <w:tabs>
          <w:tab w:val="left" w:pos="7020"/>
        </w:tabs>
        <w:spacing w:before="62"/>
        <w:ind w:left="4217" w:right="3490"/>
        <w:jc w:val="center"/>
        <w:rPr>
          <w:rFonts w:ascii="Arial"/>
          <w:sz w:val="14"/>
          <w:lang w:val="fr-FR"/>
        </w:rPr>
      </w:pPr>
      <w:r w:rsidRPr="00F8521A">
        <w:rPr>
          <w:rFonts w:ascii="Arial"/>
          <w:sz w:val="14"/>
          <w:lang w:val="fr-FR"/>
        </w:rPr>
        <w:t xml:space="preserve"> </w:t>
      </w:r>
      <w:hyperlink r:id="rId13" w:history="1">
        <w:r w:rsidRPr="00FF2405">
          <w:rPr>
            <w:rStyle w:val="Hyperlink"/>
            <w:rFonts w:ascii="Arial"/>
            <w:sz w:val="14"/>
            <w:lang w:val="fr-FR"/>
          </w:rPr>
          <w:t>cornel.ioana@gipsa-lab.grenoble-inp.fr</w:t>
        </w:r>
      </w:hyperlink>
      <w:r w:rsidRPr="00F8521A">
        <w:rPr>
          <w:rFonts w:ascii="Arial"/>
          <w:sz w:val="14"/>
          <w:lang w:val="fr-FR"/>
        </w:rPr>
        <w:t xml:space="preserve">   </w:t>
      </w:r>
    </w:p>
    <w:p w14:paraId="1BD90BBC" w14:textId="0E1AA14E" w:rsidR="00AE3E37" w:rsidRPr="00F8521A" w:rsidRDefault="00292ED9" w:rsidP="00760997">
      <w:pPr>
        <w:pStyle w:val="BodyText"/>
        <w:spacing w:before="2"/>
        <w:rPr>
          <w:rFonts w:ascii="Minion Pro"/>
          <w:b/>
          <w:sz w:val="20"/>
          <w:lang w:val="fr-FR"/>
        </w:rPr>
        <w:sectPr w:rsidR="00AE3E37" w:rsidRPr="00F8521A">
          <w:type w:val="continuous"/>
          <w:pgSz w:w="11910" w:h="16840"/>
          <w:pgMar w:top="1740" w:right="600" w:bottom="840" w:left="620" w:header="720" w:footer="720" w:gutter="0"/>
          <w:cols w:space="720"/>
        </w:sectPr>
      </w:pPr>
      <w:r>
        <w:rPr>
          <w:noProof/>
        </w:rPr>
        <mc:AlternateContent>
          <mc:Choice Requires="wps">
            <w:drawing>
              <wp:anchor distT="0" distB="0" distL="0" distR="0" simplePos="0" relativeHeight="1072" behindDoc="0" locked="0" layoutInCell="1" allowOverlap="1" wp14:anchorId="5B6C21E4" wp14:editId="5E5D065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line w14:anchorId="3355B45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70A3EE48" w14:textId="77777777" w:rsidR="00AE3E37" w:rsidRPr="00F8521A" w:rsidRDefault="00AE3E37">
      <w:pPr>
        <w:pStyle w:val="BodyText"/>
        <w:spacing w:before="3"/>
        <w:rPr>
          <w:rFonts w:ascii="Minion Pro"/>
          <w:sz w:val="26"/>
          <w:lang w:val="fr-FR"/>
        </w:rPr>
      </w:pPr>
    </w:p>
    <w:sectPr w:rsidR="00AE3E37" w:rsidRPr="00F8521A"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8E0B5F" w14:textId="77777777" w:rsidR="00DF1873" w:rsidRDefault="00DF1873">
      <w:r>
        <w:separator/>
      </w:r>
    </w:p>
  </w:endnote>
  <w:endnote w:type="continuationSeparator" w:id="0">
    <w:p w14:paraId="4DB40D42" w14:textId="77777777" w:rsidR="00DF1873" w:rsidRDefault="00DF1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8043BE"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7BE565C5" wp14:editId="2A7E2D0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92462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79918A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14:paraId="4592462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79918A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3187A2" w14:textId="77777777" w:rsidR="00DF1873" w:rsidRDefault="00DF1873">
      <w:r>
        <w:separator/>
      </w:r>
    </w:p>
  </w:footnote>
  <w:footnote w:type="continuationSeparator" w:id="0">
    <w:p w14:paraId="1823574F" w14:textId="77777777" w:rsidR="00DF1873" w:rsidRDefault="00DF18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5A32A7" w14:textId="77777777" w:rsidR="00AE3E37" w:rsidRDefault="00AE3E37">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Compte admin local (C. Ioana)">
    <w15:presenceInfo w15:providerId="None" w15:userId="Compte admin local (C. Ioan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533D"/>
    <w:rsid w:val="00064211"/>
    <w:rsid w:val="00066052"/>
    <w:rsid w:val="000B2522"/>
    <w:rsid w:val="000E2911"/>
    <w:rsid w:val="001263DF"/>
    <w:rsid w:val="00136258"/>
    <w:rsid w:val="001B731B"/>
    <w:rsid w:val="002455EC"/>
    <w:rsid w:val="00292ED9"/>
    <w:rsid w:val="002C549E"/>
    <w:rsid w:val="00404E5B"/>
    <w:rsid w:val="00414F7B"/>
    <w:rsid w:val="004355DC"/>
    <w:rsid w:val="00447C4E"/>
    <w:rsid w:val="00450140"/>
    <w:rsid w:val="004749B4"/>
    <w:rsid w:val="00494130"/>
    <w:rsid w:val="004C29FF"/>
    <w:rsid w:val="004F3523"/>
    <w:rsid w:val="005973B9"/>
    <w:rsid w:val="005B3A56"/>
    <w:rsid w:val="006060CE"/>
    <w:rsid w:val="0063497F"/>
    <w:rsid w:val="0070599D"/>
    <w:rsid w:val="007366A0"/>
    <w:rsid w:val="00743454"/>
    <w:rsid w:val="00743D50"/>
    <w:rsid w:val="00757300"/>
    <w:rsid w:val="00760997"/>
    <w:rsid w:val="00873DF0"/>
    <w:rsid w:val="008756E6"/>
    <w:rsid w:val="008A08B6"/>
    <w:rsid w:val="009740E5"/>
    <w:rsid w:val="009B2D44"/>
    <w:rsid w:val="00A07E82"/>
    <w:rsid w:val="00A33732"/>
    <w:rsid w:val="00A9710C"/>
    <w:rsid w:val="00AE3E37"/>
    <w:rsid w:val="00B04E68"/>
    <w:rsid w:val="00B21A57"/>
    <w:rsid w:val="00B2454D"/>
    <w:rsid w:val="00B6548E"/>
    <w:rsid w:val="00BE05BF"/>
    <w:rsid w:val="00BE0BDA"/>
    <w:rsid w:val="00C249E7"/>
    <w:rsid w:val="00C33602"/>
    <w:rsid w:val="00CC4DDE"/>
    <w:rsid w:val="00CD6F55"/>
    <w:rsid w:val="00CE202D"/>
    <w:rsid w:val="00CE67B5"/>
    <w:rsid w:val="00D21D1C"/>
    <w:rsid w:val="00D244D7"/>
    <w:rsid w:val="00DE3104"/>
    <w:rsid w:val="00DF1873"/>
    <w:rsid w:val="00E26B10"/>
    <w:rsid w:val="00EA523E"/>
    <w:rsid w:val="00F57E22"/>
    <w:rsid w:val="00F72EEA"/>
    <w:rsid w:val="00F84CAE"/>
    <w:rsid w:val="00F8521A"/>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DC2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5">
    <w:name w:val="heading 5"/>
    <w:basedOn w:val="Normal"/>
    <w:next w:val="Normal"/>
    <w:link w:val="Heading5Char"/>
    <w:uiPriority w:val="9"/>
    <w:semiHidden/>
    <w:unhideWhenUsed/>
    <w:qFormat/>
    <w:rsid w:val="00BE0BDA"/>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B6548E"/>
    <w:pPr>
      <w:widowControl/>
    </w:pPr>
    <w:rPr>
      <w:rFonts w:ascii="Times New Roman" w:hAnsi="Times New Roman"/>
      <w:sz w:val="20"/>
      <w:lang w:val="fr-FR" w:eastAsia="fr-FR"/>
    </w:rPr>
  </w:style>
  <w:style w:type="character" w:customStyle="1" w:styleId="Heading5Char">
    <w:name w:val="Heading 5 Char"/>
    <w:basedOn w:val="DefaultParagraphFont"/>
    <w:link w:val="Heading5"/>
    <w:uiPriority w:val="9"/>
    <w:semiHidden/>
    <w:rsid w:val="00BE0BDA"/>
    <w:rPr>
      <w:rFonts w:asciiTheme="majorHAnsi" w:eastAsiaTheme="majorEastAsia" w:hAnsiTheme="majorHAnsi" w:cstheme="majorBidi"/>
      <w:color w:val="243F60" w:themeColor="accent1" w:themeShade="7F"/>
    </w:rPr>
  </w:style>
  <w:style w:type="character" w:styleId="Emphasis">
    <w:name w:val="Emphasis"/>
    <w:basedOn w:val="DefaultParagraphFont"/>
    <w:uiPriority w:val="20"/>
    <w:qFormat/>
    <w:rsid w:val="00F57E2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5">
    <w:name w:val="heading 5"/>
    <w:basedOn w:val="Normal"/>
    <w:next w:val="Normal"/>
    <w:link w:val="Heading5Char"/>
    <w:uiPriority w:val="9"/>
    <w:semiHidden/>
    <w:unhideWhenUsed/>
    <w:qFormat/>
    <w:rsid w:val="00BE0BDA"/>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B6548E"/>
    <w:pPr>
      <w:widowControl/>
    </w:pPr>
    <w:rPr>
      <w:rFonts w:ascii="Times New Roman" w:hAnsi="Times New Roman"/>
      <w:sz w:val="20"/>
      <w:lang w:val="fr-FR" w:eastAsia="fr-FR"/>
    </w:rPr>
  </w:style>
  <w:style w:type="character" w:customStyle="1" w:styleId="Heading5Char">
    <w:name w:val="Heading 5 Char"/>
    <w:basedOn w:val="DefaultParagraphFont"/>
    <w:link w:val="Heading5"/>
    <w:uiPriority w:val="9"/>
    <w:semiHidden/>
    <w:rsid w:val="00BE0BDA"/>
    <w:rPr>
      <w:rFonts w:asciiTheme="majorHAnsi" w:eastAsiaTheme="majorEastAsia" w:hAnsiTheme="majorHAnsi" w:cstheme="majorBidi"/>
      <w:color w:val="243F60" w:themeColor="accent1" w:themeShade="7F"/>
    </w:rPr>
  </w:style>
  <w:style w:type="character" w:styleId="Emphasis">
    <w:name w:val="Emphasis"/>
    <w:basedOn w:val="DefaultParagraphFont"/>
    <w:uiPriority w:val="20"/>
    <w:qFormat/>
    <w:rsid w:val="00F57E2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74923925">
      <w:bodyDiv w:val="1"/>
      <w:marLeft w:val="0"/>
      <w:marRight w:val="0"/>
      <w:marTop w:val="0"/>
      <w:marBottom w:val="0"/>
      <w:divBdr>
        <w:top w:val="none" w:sz="0" w:space="0" w:color="auto"/>
        <w:left w:val="none" w:sz="0" w:space="0" w:color="auto"/>
        <w:bottom w:val="none" w:sz="0" w:space="0" w:color="auto"/>
        <w:right w:val="none" w:sz="0" w:space="0" w:color="auto"/>
      </w:divBdr>
    </w:div>
    <w:div w:id="130812500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cornel.ioana@gipsa-lab.grenoble-inp.fr"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3930BA-46DD-4FA0-8A91-EB34D32F6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683</Words>
  <Characters>3895</Characters>
  <Application>Microsoft Office Word</Application>
  <DocSecurity>0</DocSecurity>
  <Lines>32</Lines>
  <Paragraphs>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4569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CECTI-WORKSTATION-4</cp:lastModifiedBy>
  <cp:revision>9</cp:revision>
  <dcterms:created xsi:type="dcterms:W3CDTF">2021-01-11T11:23:00Z</dcterms:created>
  <dcterms:modified xsi:type="dcterms:W3CDTF">2021-01-15T07:16:00Z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