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AB2BB" w14:textId="224C2DC2" w:rsidR="00FE605F" w:rsidRPr="00F302A3" w:rsidRDefault="00FE605F" w:rsidP="00FE60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F302A3">
        <w:rPr>
          <w:rFonts w:ascii="Arial" w:hAnsi="Arial" w:cs="Arial"/>
          <w:b/>
          <w:bCs/>
          <w:color w:val="000000"/>
          <w:sz w:val="24"/>
          <w:szCs w:val="24"/>
        </w:rPr>
        <w:t>Gut microbiota modulates lung fibrosis severity</w:t>
      </w:r>
      <w:r w:rsidR="00F302A3" w:rsidRPr="00F302A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F302A3">
        <w:rPr>
          <w:rFonts w:ascii="Arial" w:hAnsi="Arial" w:cs="Arial"/>
          <w:b/>
          <w:bCs/>
          <w:color w:val="000000"/>
          <w:sz w:val="24"/>
          <w:szCs w:val="24"/>
        </w:rPr>
        <w:t>following acute lung injury in mice</w:t>
      </w:r>
    </w:p>
    <w:p w14:paraId="686E4BC8" w14:textId="77777777" w:rsidR="00FE605F" w:rsidRPr="00F302A3" w:rsidRDefault="00FE605F" w:rsidP="00FE60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3438C8D" w14:textId="77777777" w:rsidR="000B7D45" w:rsidRDefault="00F302A3" w:rsidP="00F302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302A3">
        <w:rPr>
          <w:rFonts w:ascii="Arial" w:hAnsi="Arial" w:cs="Arial"/>
          <w:sz w:val="24"/>
          <w:szCs w:val="24"/>
        </w:rPr>
        <w:t>Ozioma</w:t>
      </w:r>
      <w:proofErr w:type="spellEnd"/>
      <w:r w:rsidRPr="00F302A3">
        <w:rPr>
          <w:rFonts w:ascii="Arial" w:hAnsi="Arial" w:cs="Arial"/>
          <w:sz w:val="24"/>
          <w:szCs w:val="24"/>
        </w:rPr>
        <w:t xml:space="preserve"> S. Chioma</w:t>
      </w:r>
      <w:r w:rsidRPr="00F302A3">
        <w:rPr>
          <w:rFonts w:ascii="Arial" w:hAnsi="Arial" w:cs="Arial"/>
          <w:sz w:val="24"/>
          <w:szCs w:val="24"/>
          <w:vertAlign w:val="superscript"/>
        </w:rPr>
        <w:t>1</w:t>
      </w:r>
      <w:r w:rsidRPr="00F302A3">
        <w:rPr>
          <w:rFonts w:ascii="Arial" w:hAnsi="Arial" w:cs="Arial"/>
          <w:sz w:val="24"/>
          <w:szCs w:val="24"/>
        </w:rPr>
        <w:t>, Elizabeth K. Mallott</w:t>
      </w:r>
      <w:r w:rsidRPr="00F302A3">
        <w:rPr>
          <w:rFonts w:ascii="Arial" w:hAnsi="Arial" w:cs="Arial"/>
          <w:sz w:val="24"/>
          <w:szCs w:val="24"/>
          <w:vertAlign w:val="superscript"/>
        </w:rPr>
        <w:t>2,3</w:t>
      </w:r>
      <w:r w:rsidRPr="00F302A3">
        <w:rPr>
          <w:rFonts w:ascii="Arial" w:hAnsi="Arial" w:cs="Arial"/>
          <w:sz w:val="24"/>
          <w:szCs w:val="24"/>
        </w:rPr>
        <w:t>, Nandita Dey</w:t>
      </w:r>
      <w:r w:rsidRPr="00F302A3">
        <w:rPr>
          <w:rFonts w:ascii="Arial" w:hAnsi="Arial" w:cs="Arial"/>
          <w:sz w:val="24"/>
          <w:szCs w:val="24"/>
          <w:vertAlign w:val="superscript"/>
        </w:rPr>
        <w:t>1</w:t>
      </w:r>
      <w:r w:rsidRPr="00F302A3">
        <w:rPr>
          <w:rFonts w:ascii="Arial" w:hAnsi="Arial" w:cs="Arial"/>
          <w:sz w:val="24"/>
          <w:szCs w:val="24"/>
        </w:rPr>
        <w:t xml:space="preserve">, </w:t>
      </w:r>
      <w:r w:rsidRPr="00F302A3">
        <w:rPr>
          <w:rFonts w:ascii="Arial" w:hAnsi="Arial" w:cs="Arial"/>
          <w:sz w:val="24"/>
          <w:szCs w:val="24"/>
        </w:rPr>
        <w:t>J</w:t>
      </w:r>
      <w:r w:rsidRPr="00F302A3">
        <w:rPr>
          <w:rFonts w:ascii="Arial" w:hAnsi="Arial" w:cs="Arial"/>
          <w:sz w:val="24"/>
          <w:szCs w:val="24"/>
        </w:rPr>
        <w:t>oyce J</w:t>
      </w:r>
      <w:r w:rsidR="000B7D45">
        <w:rPr>
          <w:rFonts w:ascii="Arial" w:hAnsi="Arial" w:cs="Arial"/>
          <w:sz w:val="24"/>
          <w:szCs w:val="24"/>
        </w:rPr>
        <w:t>o</w:t>
      </w:r>
      <w:r w:rsidRPr="00F302A3">
        <w:rPr>
          <w:rFonts w:ascii="Arial" w:hAnsi="Arial" w:cs="Arial"/>
          <w:sz w:val="24"/>
          <w:szCs w:val="24"/>
        </w:rPr>
        <w:t>hnson</w:t>
      </w:r>
      <w:r w:rsidR="000B7D45">
        <w:rPr>
          <w:rFonts w:ascii="Arial" w:hAnsi="Arial" w:cs="Arial"/>
          <w:sz w:val="24"/>
          <w:szCs w:val="24"/>
          <w:vertAlign w:val="superscript"/>
        </w:rPr>
        <w:t>4</w:t>
      </w:r>
      <w:r w:rsidRPr="00F302A3">
        <w:rPr>
          <w:rFonts w:ascii="Arial" w:hAnsi="Arial" w:cs="Arial"/>
          <w:sz w:val="24"/>
          <w:szCs w:val="24"/>
        </w:rPr>
        <w:t xml:space="preserve">, </w:t>
      </w:r>
    </w:p>
    <w:p w14:paraId="6E954EC1" w14:textId="6CBE1549" w:rsidR="00F302A3" w:rsidRDefault="00F302A3" w:rsidP="00F302A3">
      <w:pPr>
        <w:spacing w:after="0" w:line="24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F302A3">
        <w:rPr>
          <w:rFonts w:ascii="Arial" w:hAnsi="Arial" w:cs="Arial"/>
          <w:sz w:val="24"/>
          <w:szCs w:val="24"/>
        </w:rPr>
        <w:t>Gordon Bernard</w:t>
      </w:r>
      <w:r w:rsidR="000B7D45">
        <w:rPr>
          <w:rFonts w:ascii="Arial" w:hAnsi="Arial" w:cs="Arial"/>
          <w:sz w:val="24"/>
          <w:szCs w:val="24"/>
          <w:vertAlign w:val="superscript"/>
        </w:rPr>
        <w:t>5</w:t>
      </w:r>
      <w:r w:rsidRPr="00F302A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302A3">
        <w:rPr>
          <w:rFonts w:ascii="Arial" w:hAnsi="Arial" w:cs="Arial"/>
          <w:sz w:val="24"/>
          <w:szCs w:val="24"/>
        </w:rPr>
        <w:t>Sobha</w:t>
      </w:r>
      <w:proofErr w:type="spellEnd"/>
      <w:r w:rsidR="000B7D45">
        <w:rPr>
          <w:rFonts w:ascii="Arial" w:hAnsi="Arial" w:cs="Arial"/>
          <w:sz w:val="24"/>
          <w:szCs w:val="24"/>
        </w:rPr>
        <w:t xml:space="preserve"> </w:t>
      </w:r>
      <w:r w:rsidRPr="00F302A3">
        <w:rPr>
          <w:rFonts w:ascii="Arial" w:hAnsi="Arial" w:cs="Arial"/>
          <w:sz w:val="24"/>
          <w:szCs w:val="24"/>
        </w:rPr>
        <w:t>Bodduluri</w:t>
      </w:r>
      <w:r w:rsidR="000B7D45">
        <w:rPr>
          <w:rFonts w:ascii="Arial" w:hAnsi="Arial" w:cs="Arial"/>
          <w:sz w:val="24"/>
          <w:szCs w:val="24"/>
          <w:vertAlign w:val="superscript"/>
        </w:rPr>
        <w:t>6</w:t>
      </w:r>
      <w:r w:rsidRPr="00F302A3">
        <w:rPr>
          <w:rFonts w:ascii="Arial" w:hAnsi="Arial" w:cs="Arial"/>
          <w:sz w:val="24"/>
          <w:szCs w:val="24"/>
        </w:rPr>
        <w:t>, Steven Davison</w:t>
      </w:r>
      <w:r w:rsidR="000B7D45">
        <w:rPr>
          <w:rFonts w:ascii="Arial" w:hAnsi="Arial" w:cs="Arial"/>
          <w:sz w:val="24"/>
          <w:szCs w:val="24"/>
          <w:vertAlign w:val="superscript"/>
        </w:rPr>
        <w:t>6</w:t>
      </w:r>
      <w:r w:rsidRPr="00F302A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302A3">
        <w:rPr>
          <w:rFonts w:ascii="Arial" w:hAnsi="Arial" w:cs="Arial"/>
          <w:sz w:val="24"/>
          <w:szCs w:val="24"/>
        </w:rPr>
        <w:t>Bodduluri</w:t>
      </w:r>
      <w:proofErr w:type="spellEnd"/>
      <w:r w:rsidRPr="00F302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02A3">
        <w:rPr>
          <w:rFonts w:ascii="Arial" w:hAnsi="Arial" w:cs="Arial"/>
          <w:sz w:val="24"/>
          <w:szCs w:val="24"/>
        </w:rPr>
        <w:t>Haribabu</w:t>
      </w:r>
      <w:proofErr w:type="spellEnd"/>
      <w:r w:rsidRPr="00F302A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0B7D45">
        <w:rPr>
          <w:rFonts w:ascii="Arial" w:hAnsi="Arial" w:cs="Arial"/>
          <w:sz w:val="24"/>
          <w:szCs w:val="24"/>
          <w:vertAlign w:val="superscript"/>
        </w:rPr>
        <w:t>6</w:t>
      </w:r>
      <w:r w:rsidRPr="00F302A3">
        <w:rPr>
          <w:rFonts w:ascii="Arial" w:hAnsi="Arial" w:cs="Arial"/>
          <w:sz w:val="24"/>
          <w:szCs w:val="24"/>
        </w:rPr>
        <w:t>, Seth Bordenstein</w:t>
      </w:r>
      <w:r w:rsidRPr="00F302A3">
        <w:rPr>
          <w:rFonts w:ascii="Arial" w:hAnsi="Arial" w:cs="Arial"/>
          <w:sz w:val="24"/>
          <w:szCs w:val="24"/>
          <w:vertAlign w:val="superscript"/>
        </w:rPr>
        <w:t>2, 3, 5</w:t>
      </w:r>
      <w:r w:rsidRPr="00F302A3">
        <w:rPr>
          <w:rFonts w:ascii="Arial" w:hAnsi="Arial" w:cs="Arial"/>
          <w:sz w:val="24"/>
          <w:szCs w:val="24"/>
        </w:rPr>
        <w:t>, Wonder P. Drake*</w:t>
      </w:r>
      <w:r w:rsidRPr="00F302A3">
        <w:rPr>
          <w:rFonts w:ascii="Arial" w:hAnsi="Arial" w:cs="Arial"/>
          <w:sz w:val="24"/>
          <w:szCs w:val="24"/>
          <w:vertAlign w:val="superscript"/>
        </w:rPr>
        <w:t>1, 5</w:t>
      </w:r>
    </w:p>
    <w:p w14:paraId="78471385" w14:textId="59C4DE36" w:rsidR="000B7D45" w:rsidRDefault="000B7D45" w:rsidP="00F302A3">
      <w:pPr>
        <w:spacing w:after="0" w:line="240" w:lineRule="auto"/>
        <w:jc w:val="both"/>
        <w:rPr>
          <w:rFonts w:ascii="Arial" w:hAnsi="Arial" w:cs="Arial"/>
          <w:sz w:val="24"/>
          <w:szCs w:val="24"/>
          <w:vertAlign w:val="superscript"/>
        </w:rPr>
      </w:pPr>
    </w:p>
    <w:p w14:paraId="02293E7E" w14:textId="77777777" w:rsidR="000B7D45" w:rsidRPr="000B7D45" w:rsidRDefault="000B7D45" w:rsidP="000B7D45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B7D45">
        <w:rPr>
          <w:rFonts w:ascii="Arial" w:hAnsi="Arial" w:cs="Arial"/>
          <w:b/>
          <w:bCs/>
          <w:sz w:val="24"/>
          <w:szCs w:val="24"/>
        </w:rPr>
        <w:t>Affiliations:</w:t>
      </w:r>
    </w:p>
    <w:p w14:paraId="034F10C3" w14:textId="77777777" w:rsidR="000B7D45" w:rsidRPr="000B7D45" w:rsidRDefault="000B7D45" w:rsidP="000B7D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7D45">
        <w:rPr>
          <w:rFonts w:ascii="Arial" w:hAnsi="Arial" w:cs="Arial"/>
          <w:sz w:val="24"/>
          <w:szCs w:val="24"/>
          <w:vertAlign w:val="superscript"/>
        </w:rPr>
        <w:t>1</w:t>
      </w:r>
      <w:r w:rsidRPr="000B7D45">
        <w:rPr>
          <w:rFonts w:ascii="Arial" w:hAnsi="Arial" w:cs="Arial"/>
          <w:sz w:val="24"/>
          <w:szCs w:val="24"/>
        </w:rPr>
        <w:t>Division of Infectious Disease, Department of Medicine, Vanderbilt University School of Medicine, Nashville, TN, USA</w:t>
      </w:r>
    </w:p>
    <w:p w14:paraId="0B42CA09" w14:textId="77777777" w:rsidR="000B7D45" w:rsidRPr="000B7D45" w:rsidRDefault="000B7D45" w:rsidP="000B7D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7D45">
        <w:rPr>
          <w:rFonts w:ascii="Arial" w:hAnsi="Arial" w:cs="Arial"/>
          <w:sz w:val="24"/>
          <w:szCs w:val="24"/>
          <w:vertAlign w:val="superscript"/>
        </w:rPr>
        <w:t>2</w:t>
      </w:r>
      <w:r w:rsidRPr="000B7D45">
        <w:rPr>
          <w:rFonts w:ascii="Arial" w:hAnsi="Arial" w:cs="Arial"/>
          <w:sz w:val="24"/>
          <w:szCs w:val="24"/>
        </w:rPr>
        <w:t>Department of Biological Sciences, Vanderbilt University, Nashville, TN, USA</w:t>
      </w:r>
    </w:p>
    <w:p w14:paraId="1C4D606F" w14:textId="77777777" w:rsidR="000B7D45" w:rsidRPr="000B7D45" w:rsidRDefault="000B7D45" w:rsidP="000B7D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7D45">
        <w:rPr>
          <w:rFonts w:ascii="Arial" w:hAnsi="Arial" w:cs="Arial"/>
          <w:sz w:val="24"/>
          <w:szCs w:val="24"/>
          <w:vertAlign w:val="superscript"/>
        </w:rPr>
        <w:t>3</w:t>
      </w:r>
      <w:r w:rsidRPr="000B7D45">
        <w:rPr>
          <w:rFonts w:ascii="Arial" w:hAnsi="Arial" w:cs="Arial"/>
          <w:sz w:val="24"/>
          <w:szCs w:val="24"/>
        </w:rPr>
        <w:t>Vanderbilt Microbiome Initiative, Vanderbilt University, Nashville, TN, USA</w:t>
      </w:r>
    </w:p>
    <w:p w14:paraId="47774A14" w14:textId="60E78EE1" w:rsidR="000B7D45" w:rsidRPr="000B7D45" w:rsidRDefault="000B7D45" w:rsidP="000B7D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7D45">
        <w:rPr>
          <w:rFonts w:ascii="Arial" w:hAnsi="Arial" w:cs="Arial"/>
          <w:sz w:val="24"/>
          <w:szCs w:val="24"/>
          <w:vertAlign w:val="superscript"/>
        </w:rPr>
        <w:t>4</w:t>
      </w:r>
      <w:r w:rsidRPr="000B7D45">
        <w:rPr>
          <w:rFonts w:ascii="Arial" w:hAnsi="Arial" w:cs="Arial"/>
          <w:sz w:val="24"/>
          <w:szCs w:val="24"/>
        </w:rPr>
        <w:t>Department of Pathology, Microbiology, and Immunology, Vanderbilt University School of Medicine, Nashville, TN, USA, USA</w:t>
      </w:r>
    </w:p>
    <w:p w14:paraId="4661B03D" w14:textId="647F592A" w:rsidR="000B7D45" w:rsidRPr="000B7D45" w:rsidRDefault="000B7D45" w:rsidP="000B7D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7D45">
        <w:rPr>
          <w:rFonts w:ascii="Arial" w:hAnsi="Arial" w:cs="Arial"/>
          <w:sz w:val="24"/>
          <w:szCs w:val="24"/>
          <w:vertAlign w:val="superscript"/>
        </w:rPr>
        <w:t>5</w:t>
      </w:r>
      <w:r w:rsidRPr="000B7D45">
        <w:rPr>
          <w:rFonts w:ascii="Arial" w:hAnsi="Arial" w:cs="Arial"/>
          <w:sz w:val="24"/>
          <w:szCs w:val="24"/>
        </w:rPr>
        <w:t>Division of Pulmonary and Critical Care, Department of Medicine, Vanderbilt University School of Medicine, Nashville, TN, USA</w:t>
      </w:r>
    </w:p>
    <w:p w14:paraId="2CB2FF3C" w14:textId="1C8DFEBF" w:rsidR="000B7D45" w:rsidRPr="000B7D45" w:rsidRDefault="000B7D45" w:rsidP="000B7D4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7D45">
        <w:rPr>
          <w:rFonts w:ascii="Arial" w:hAnsi="Arial" w:cs="Arial"/>
          <w:sz w:val="24"/>
          <w:szCs w:val="24"/>
          <w:vertAlign w:val="superscript"/>
        </w:rPr>
        <w:t>6</w:t>
      </w:r>
      <w:r w:rsidRPr="000B7D45">
        <w:rPr>
          <w:rFonts w:ascii="Arial" w:hAnsi="Arial" w:cs="Arial"/>
          <w:sz w:val="24"/>
          <w:szCs w:val="24"/>
        </w:rPr>
        <w:t>Department of Microbiology and Immunology, University of Louisville School of Medicine, Louisville, KY, USA</w:t>
      </w:r>
    </w:p>
    <w:p w14:paraId="039B00D7" w14:textId="77777777" w:rsidR="00FE605F" w:rsidRPr="00F302A3" w:rsidRDefault="00FE605F" w:rsidP="00FE60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A627481" w14:textId="510A646C" w:rsidR="00F302A3" w:rsidRPr="00F302A3" w:rsidRDefault="00FE605F" w:rsidP="00FE60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302A3">
        <w:rPr>
          <w:rFonts w:ascii="Arial" w:hAnsi="Arial" w:cs="Arial"/>
          <w:b/>
          <w:bCs/>
          <w:color w:val="000000"/>
          <w:sz w:val="24"/>
          <w:szCs w:val="24"/>
        </w:rPr>
        <w:t xml:space="preserve">Statement of the Problem:  </w:t>
      </w:r>
      <w:r w:rsidRPr="00F302A3">
        <w:rPr>
          <w:rFonts w:ascii="Arial" w:hAnsi="Arial" w:cs="Arial"/>
          <w:color w:val="000000"/>
          <w:sz w:val="24"/>
          <w:szCs w:val="24"/>
        </w:rPr>
        <w:t>Independent studies demonstrate the significance of gut microbiota on the pathogenesis of</w:t>
      </w:r>
      <w:r w:rsid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F302A3">
        <w:rPr>
          <w:rFonts w:ascii="Arial" w:hAnsi="Arial" w:cs="Arial"/>
          <w:color w:val="000000"/>
          <w:sz w:val="24"/>
          <w:szCs w:val="24"/>
        </w:rPr>
        <w:t>chronic lung diseases; yet little is known regarding the role of the gut microbiota in lung fibrosis</w:t>
      </w:r>
      <w:r w:rsid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F302A3">
        <w:rPr>
          <w:rFonts w:ascii="Arial" w:hAnsi="Arial" w:cs="Arial"/>
          <w:color w:val="000000"/>
          <w:sz w:val="24"/>
          <w:szCs w:val="24"/>
        </w:rPr>
        <w:t xml:space="preserve">progression. </w:t>
      </w:r>
    </w:p>
    <w:p w14:paraId="03D94450" w14:textId="77777777" w:rsidR="00F302A3" w:rsidRPr="00F302A3" w:rsidRDefault="00F302A3" w:rsidP="00FE60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4DD907F" w14:textId="3004F003" w:rsidR="00F302A3" w:rsidRPr="00F302A3" w:rsidRDefault="00F302A3" w:rsidP="00FE60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302A3">
        <w:rPr>
          <w:rFonts w:ascii="Arial" w:hAnsi="Arial" w:cs="Arial"/>
          <w:b/>
          <w:sz w:val="24"/>
          <w:szCs w:val="24"/>
        </w:rPr>
        <w:t xml:space="preserve">Methodology &amp; theoretical orientation: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Here we show, using the bleomycin murine model to quantify lung fibrosis in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C57BL/6 J mice housed in germ-free, animal biosafety level 1 (ABSL-1), or animal biosafety level</w:t>
      </w:r>
      <w:r w:rsidRP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2 (ABSL-2) environments, that germ-free mice are protected from lung fibrosis, while ABSL-1</w:t>
      </w:r>
      <w:r w:rsidRP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and ABSL-2 mice develop mild and severe lung</w:t>
      </w:r>
      <w:r w:rsidRP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fibrosis, respectively.</w:t>
      </w:r>
    </w:p>
    <w:p w14:paraId="66E33072" w14:textId="77777777" w:rsidR="00F302A3" w:rsidRPr="00F302A3" w:rsidRDefault="00F302A3" w:rsidP="00FE60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CD900B7" w14:textId="1909CF20" w:rsidR="00FE605F" w:rsidRPr="00F302A3" w:rsidRDefault="00F302A3" w:rsidP="00FE60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302A3">
        <w:rPr>
          <w:rFonts w:ascii="Arial" w:hAnsi="Arial" w:cs="Arial"/>
          <w:b/>
          <w:bCs/>
          <w:color w:val="000000"/>
          <w:sz w:val="24"/>
          <w:szCs w:val="24"/>
        </w:rPr>
        <w:t>Findings:</w:t>
      </w:r>
      <w:r w:rsidRP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 xml:space="preserve"> Metagenomic analysis</w:t>
      </w:r>
      <w:r w:rsidRP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reveals no notable distinctions between ABSL-1 and ABSL-2 lung microbiota, whereas greater</w:t>
      </w:r>
      <w:r w:rsidRP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 xml:space="preserve">microbial diversity, with increased </w:t>
      </w:r>
      <w:proofErr w:type="spellStart"/>
      <w:r w:rsidR="00FE605F" w:rsidRPr="00F302A3">
        <w:rPr>
          <w:rFonts w:ascii="Arial" w:hAnsi="Arial" w:cs="Arial"/>
          <w:i/>
          <w:iCs/>
          <w:color w:val="000000"/>
          <w:sz w:val="24"/>
          <w:szCs w:val="24"/>
        </w:rPr>
        <w:t>Bifido</w:t>
      </w:r>
      <w:proofErr w:type="spellEnd"/>
      <w:r w:rsidR="000B7D45">
        <w:rPr>
          <w:rFonts w:ascii="Arial" w:hAnsi="Arial" w:cs="Arial"/>
          <w:i/>
          <w:iCs/>
          <w:color w:val="000000"/>
          <w:sz w:val="24"/>
          <w:szCs w:val="24"/>
        </w:rPr>
        <w:t>-</w:t>
      </w:r>
      <w:r w:rsidR="00FE605F" w:rsidRPr="00F302A3">
        <w:rPr>
          <w:rFonts w:ascii="Arial" w:hAnsi="Arial" w:cs="Arial"/>
          <w:i/>
          <w:iCs/>
          <w:color w:val="000000"/>
          <w:sz w:val="24"/>
          <w:szCs w:val="24"/>
        </w:rPr>
        <w:t>bacterium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 xml:space="preserve"> and </w:t>
      </w:r>
      <w:r w:rsidR="00FE605F" w:rsidRPr="00F302A3">
        <w:rPr>
          <w:rFonts w:ascii="Arial" w:hAnsi="Arial" w:cs="Arial"/>
          <w:i/>
          <w:iCs/>
          <w:color w:val="000000"/>
          <w:sz w:val="24"/>
          <w:szCs w:val="24"/>
        </w:rPr>
        <w:t>Lactobacill</w:t>
      </w:r>
      <w:r w:rsidRPr="00F302A3">
        <w:rPr>
          <w:rFonts w:ascii="Arial" w:hAnsi="Arial" w:cs="Arial"/>
          <w:i/>
          <w:iCs/>
          <w:color w:val="000000"/>
          <w:sz w:val="24"/>
          <w:szCs w:val="24"/>
        </w:rPr>
        <w:t>us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, is present in ABSL-1 compared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to ABSL-2 gut microbiota. Flow cytometric analysis reveals enhanced IL-6/STAT3/IL-17A</w:t>
      </w:r>
      <w:r w:rsidRP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 xml:space="preserve">signaling in pulmonary CD4+T cells of ABSL-2 mice. Fecal transplantation of ABSL-2 </w:t>
      </w:r>
      <w:proofErr w:type="gramStart"/>
      <w:r w:rsidR="00FE605F" w:rsidRPr="00F302A3">
        <w:rPr>
          <w:rFonts w:ascii="Arial" w:hAnsi="Arial" w:cs="Arial"/>
          <w:color w:val="000000"/>
          <w:sz w:val="24"/>
          <w:szCs w:val="24"/>
        </w:rPr>
        <w:t>stool</w:t>
      </w:r>
      <w:proofErr w:type="gramEnd"/>
      <w:r w:rsidRP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into germ-free mice recapitulated more severe fibrosis than transplantation of ABSL-1 stool.</w:t>
      </w:r>
      <w:r w:rsidRPr="00F302A3">
        <w:rPr>
          <w:rFonts w:ascii="Arial" w:hAnsi="Arial" w:cs="Arial"/>
          <w:color w:val="000000"/>
          <w:sz w:val="24"/>
          <w:szCs w:val="24"/>
        </w:rPr>
        <w:t xml:space="preserve"> 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Lactobacilli supernatant reduces collagen 1 A production in IL-17A- and TGFβ1-stimulated</w:t>
      </w:r>
      <w:r w:rsidRP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human lung fibroblasts. These findings support a functional role of the gut microbiota in</w:t>
      </w:r>
      <w:r w:rsidRPr="00F302A3">
        <w:rPr>
          <w:rFonts w:ascii="Arial" w:hAnsi="Arial" w:cs="Arial"/>
          <w:color w:val="000000"/>
          <w:sz w:val="24"/>
          <w:szCs w:val="24"/>
        </w:rPr>
        <w:t xml:space="preserve"> </w:t>
      </w:r>
      <w:r w:rsidR="00FE605F" w:rsidRPr="00F302A3">
        <w:rPr>
          <w:rFonts w:ascii="Arial" w:hAnsi="Arial" w:cs="Arial"/>
          <w:color w:val="000000"/>
          <w:sz w:val="24"/>
          <w:szCs w:val="24"/>
        </w:rPr>
        <w:t>augmenting lung fibrosis severity.</w:t>
      </w:r>
    </w:p>
    <w:p w14:paraId="6BFD37A2" w14:textId="7BCA5CFF" w:rsidR="00FE605F" w:rsidRDefault="00FE605F" w:rsidP="00FE605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FF6C00"/>
          <w:sz w:val="21"/>
          <w:szCs w:val="21"/>
        </w:rPr>
      </w:pPr>
      <w:r>
        <w:rPr>
          <w:rFonts w:ascii="AdvOTcb88df00" w:hAnsi="AdvOTcb88df00" w:cs="AdvOTcb88df00"/>
          <w:color w:val="FFFFFF"/>
          <w:sz w:val="16"/>
          <w:szCs w:val="16"/>
        </w:rPr>
        <w:t xml:space="preserve">https://doi.org/10.1038/s42003-022-04357-x </w:t>
      </w:r>
    </w:p>
    <w:p w14:paraId="33D94972" w14:textId="6C4C22CE" w:rsidR="00895FA7" w:rsidRDefault="00FE605F" w:rsidP="00FE605F">
      <w:r>
        <w:rPr>
          <w:rFonts w:ascii="AdvOTf23bb480" w:hAnsi="AdvOTf23bb480" w:cs="AdvOTf23bb480"/>
          <w:color w:val="000000"/>
          <w:sz w:val="13"/>
          <w:szCs w:val="13"/>
        </w:rPr>
        <w:t>1</w:t>
      </w:r>
    </w:p>
    <w:sectPr w:rsidR="00895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cb88df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f23bb48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5F"/>
    <w:rsid w:val="000B7D45"/>
    <w:rsid w:val="00895FA7"/>
    <w:rsid w:val="008A6FDC"/>
    <w:rsid w:val="009B1D2E"/>
    <w:rsid w:val="00F302A3"/>
    <w:rsid w:val="00FE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EF696"/>
  <w15:chartTrackingRefBased/>
  <w15:docId w15:val="{6EC3F4CB-43EC-42F6-9470-1016E1E8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Drake, Wonder P (University)</dc:creator>
  <cp:keywords/>
  <dc:description/>
  <cp:lastModifiedBy>Drake, Wonder P (University)</cp:lastModifiedBy>
  <cp:revision>1</cp:revision>
  <dcterms:created xsi:type="dcterms:W3CDTF">2023-01-05T15:36:00Z</dcterms:created>
  <dcterms:modified xsi:type="dcterms:W3CDTF">2023-01-05T16:05:00Z</dcterms:modified>
</cp:coreProperties>
</file>