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310" w:rsidRDefault="005A6310" w:rsidP="005A6310">
      <w:pPr>
        <w:pStyle w:val="Default"/>
      </w:pPr>
      <w:r>
        <w:t>TITLE :</w:t>
      </w:r>
      <w:r w:rsidRPr="005A6310">
        <w:t xml:space="preserve"> </w:t>
      </w:r>
    </w:p>
    <w:p w:rsidR="005A6310" w:rsidRDefault="005A6310" w:rsidP="005A6310">
      <w:pPr>
        <w:pStyle w:val="Default"/>
        <w:spacing w:line="261" w:lineRule="atLeast"/>
        <w:jc w:val="center"/>
        <w:rPr>
          <w:sz w:val="26"/>
          <w:szCs w:val="26"/>
        </w:rPr>
      </w:pPr>
      <w:r>
        <w:t xml:space="preserve"> </w:t>
      </w:r>
    </w:p>
    <w:p w:rsidR="005A6310" w:rsidRDefault="005A6310" w:rsidP="005A6310">
      <w:pPr>
        <w:pStyle w:val="Default"/>
        <w:spacing w:after="240" w:line="481" w:lineRule="atLeast"/>
        <w:rPr>
          <w:rFonts w:ascii="Univers 47 CondensedLight" w:hAnsi="Univers 47 CondensedLight" w:cs="Univers 47 CondensedLight"/>
          <w:sz w:val="48"/>
          <w:szCs w:val="48"/>
        </w:rPr>
      </w:pPr>
      <w:r>
        <w:rPr>
          <w:rFonts w:ascii="Univers 47 CondensedLight" w:hAnsi="Univers 47 CondensedLight" w:cs="Univers 47 CondensedLight"/>
          <w:b/>
          <w:bCs/>
          <w:sz w:val="48"/>
          <w:szCs w:val="48"/>
        </w:rPr>
        <w:t xml:space="preserve">Observational, Concurrent Study to Assess Safety and Efficacy of </w:t>
      </w:r>
      <w:proofErr w:type="spellStart"/>
      <w:r>
        <w:rPr>
          <w:rFonts w:ascii="Univers 47 CondensedLight" w:hAnsi="Univers 47 CondensedLight" w:cs="Univers 47 CondensedLight"/>
          <w:b/>
          <w:bCs/>
          <w:sz w:val="48"/>
          <w:szCs w:val="48"/>
        </w:rPr>
        <w:t>Glycopyrronium</w:t>
      </w:r>
      <w:proofErr w:type="spellEnd"/>
      <w:r>
        <w:rPr>
          <w:rFonts w:ascii="Univers 47 CondensedLight" w:hAnsi="Univers 47 CondensedLight" w:cs="Univers 47 CondensedLight"/>
          <w:b/>
          <w:bCs/>
          <w:sz w:val="48"/>
          <w:szCs w:val="48"/>
        </w:rPr>
        <w:t xml:space="preserve"> and </w:t>
      </w:r>
      <w:proofErr w:type="spellStart"/>
      <w:r>
        <w:rPr>
          <w:rFonts w:ascii="Univers 47 CondensedLight" w:hAnsi="Univers 47 CondensedLight" w:cs="Univers 47 CondensedLight"/>
          <w:b/>
          <w:bCs/>
          <w:sz w:val="48"/>
          <w:szCs w:val="48"/>
        </w:rPr>
        <w:t>Arformoterol</w:t>
      </w:r>
      <w:proofErr w:type="spellEnd"/>
      <w:r>
        <w:rPr>
          <w:rFonts w:ascii="Univers 47 CondensedLight" w:hAnsi="Univers 47 CondensedLight" w:cs="Univers 47 CondensedLight"/>
          <w:b/>
          <w:bCs/>
          <w:sz w:val="48"/>
          <w:szCs w:val="48"/>
        </w:rPr>
        <w:t xml:space="preserve"> Home </w:t>
      </w:r>
      <w:proofErr w:type="spellStart"/>
      <w:r>
        <w:rPr>
          <w:rFonts w:ascii="Univers 47 CondensedLight" w:hAnsi="Univers 47 CondensedLight" w:cs="Univers 47 CondensedLight"/>
          <w:b/>
          <w:bCs/>
          <w:sz w:val="48"/>
          <w:szCs w:val="48"/>
        </w:rPr>
        <w:t>Nebulization</w:t>
      </w:r>
      <w:proofErr w:type="spellEnd"/>
      <w:r>
        <w:rPr>
          <w:rFonts w:ascii="Univers 47 CondensedLight" w:hAnsi="Univers 47 CondensedLight" w:cs="Univers 47 CondensedLight"/>
          <w:b/>
          <w:bCs/>
          <w:sz w:val="48"/>
          <w:szCs w:val="48"/>
        </w:rPr>
        <w:t xml:space="preserve"> in High-risk, Symptomatic Acute Exacerbation of Chronic Obstructive Pulmonary Disease Cases: SYMPTOM Study </w:t>
      </w:r>
    </w:p>
    <w:p w:rsidR="005A6310" w:rsidRDefault="005A6310" w:rsidP="005A6310">
      <w:pPr>
        <w:pStyle w:val="Default"/>
        <w:spacing w:after="80" w:line="201" w:lineRule="atLeast"/>
        <w:rPr>
          <w:rFonts w:ascii="Swis721 BT" w:hAnsi="Swis721 BT" w:cs="Swis721 BT"/>
          <w:sz w:val="11"/>
          <w:szCs w:val="11"/>
        </w:rPr>
      </w:pPr>
      <w:proofErr w:type="spellStart"/>
      <w:r>
        <w:rPr>
          <w:rFonts w:ascii="Swis721 BT" w:hAnsi="Swis721 BT" w:cs="Swis721 BT"/>
          <w:b/>
          <w:bCs/>
          <w:sz w:val="20"/>
          <w:szCs w:val="20"/>
        </w:rPr>
        <w:t>Salil</w:t>
      </w:r>
      <w:proofErr w:type="spellEnd"/>
      <w:r>
        <w:rPr>
          <w:rFonts w:ascii="Swis721 BT" w:hAnsi="Swis721 BT" w:cs="Swis721 BT"/>
          <w:b/>
          <w:bCs/>
          <w:sz w:val="20"/>
          <w:szCs w:val="20"/>
        </w:rPr>
        <w:t xml:space="preserve"> Bendre</w:t>
      </w:r>
      <w:r>
        <w:rPr>
          <w:rStyle w:val="A3"/>
        </w:rPr>
        <w:t>1</w:t>
      </w:r>
      <w:r>
        <w:rPr>
          <w:rFonts w:ascii="Swis721 BT" w:hAnsi="Swis721 BT" w:cs="Swis721 BT"/>
          <w:b/>
          <w:bCs/>
          <w:sz w:val="20"/>
          <w:szCs w:val="20"/>
        </w:rPr>
        <w:t>, S Katiyar</w:t>
      </w:r>
      <w:r>
        <w:rPr>
          <w:rStyle w:val="A3"/>
        </w:rPr>
        <w:t>2</w:t>
      </w:r>
    </w:p>
    <w:p w:rsidR="005A6310" w:rsidRDefault="005A6310" w:rsidP="005A6310">
      <w:pPr>
        <w:pStyle w:val="Pa4"/>
        <w:rPr>
          <w:rFonts w:ascii="Arial" w:hAnsi="Arial" w:cs="Arial"/>
          <w:color w:val="000000"/>
          <w:sz w:val="32"/>
          <w:szCs w:val="32"/>
        </w:rPr>
      </w:pPr>
      <w:r w:rsidRPr="005A6310">
        <w:rPr>
          <w:rStyle w:val="A4"/>
          <w:sz w:val="32"/>
          <w:szCs w:val="32"/>
        </w:rPr>
        <w:t>1</w:t>
      </w:r>
      <w:r w:rsidRPr="005A6310">
        <w:rPr>
          <w:rFonts w:ascii="Arial" w:hAnsi="Arial" w:cs="Arial"/>
          <w:color w:val="000000"/>
          <w:sz w:val="32"/>
          <w:szCs w:val="32"/>
        </w:rPr>
        <w:t>Senior Consultant, Department of Chest Medicine, KLS Memorial Hospital, Mumbai, Maharashtra, India,</w:t>
      </w:r>
    </w:p>
    <w:p w:rsidR="005A6310" w:rsidRPr="005A6310" w:rsidRDefault="005A6310" w:rsidP="005A6310">
      <w:pPr>
        <w:pStyle w:val="Pa4"/>
        <w:rPr>
          <w:rFonts w:ascii="Arial" w:hAnsi="Arial" w:cs="Arial"/>
          <w:color w:val="000000"/>
          <w:sz w:val="32"/>
          <w:szCs w:val="32"/>
        </w:rPr>
      </w:pPr>
      <w:r w:rsidRPr="005A6310">
        <w:rPr>
          <w:rStyle w:val="A4"/>
          <w:sz w:val="32"/>
          <w:szCs w:val="32"/>
        </w:rPr>
        <w:t>2</w:t>
      </w:r>
      <w:r w:rsidRPr="005A6310">
        <w:rPr>
          <w:rFonts w:ascii="Arial" w:hAnsi="Arial" w:cs="Arial"/>
          <w:color w:val="000000"/>
          <w:sz w:val="32"/>
          <w:szCs w:val="32"/>
        </w:rPr>
        <w:t xml:space="preserve">Senior Consultant, Department of </w:t>
      </w:r>
      <w:proofErr w:type="spellStart"/>
      <w:r w:rsidRPr="005A6310">
        <w:rPr>
          <w:rFonts w:ascii="Arial" w:hAnsi="Arial" w:cs="Arial"/>
          <w:color w:val="000000"/>
          <w:sz w:val="32"/>
          <w:szCs w:val="32"/>
        </w:rPr>
        <w:t>Pulmonology</w:t>
      </w:r>
      <w:proofErr w:type="spellEnd"/>
      <w:r w:rsidRPr="005A6310">
        <w:rPr>
          <w:rFonts w:ascii="Arial" w:hAnsi="Arial" w:cs="Arial"/>
          <w:color w:val="000000"/>
          <w:sz w:val="32"/>
          <w:szCs w:val="32"/>
        </w:rPr>
        <w:t xml:space="preserve"> and Respiratory Medicine, Apollo Spectra Hospital, Kanpur, Uttar Pradesh, India</w:t>
      </w:r>
    </w:p>
    <w:p w:rsidR="006212B2" w:rsidRDefault="006212B2" w:rsidP="005A6310">
      <w:pPr>
        <w:rPr>
          <w:sz w:val="32"/>
          <w:szCs w:val="32"/>
        </w:rPr>
      </w:pPr>
    </w:p>
    <w:p w:rsidR="005A6310" w:rsidRDefault="005A6310" w:rsidP="005A6310">
      <w:pPr>
        <w:rPr>
          <w:sz w:val="32"/>
          <w:szCs w:val="32"/>
        </w:rPr>
      </w:pPr>
    </w:p>
    <w:p w:rsidR="005A6310" w:rsidRPr="005A6310" w:rsidRDefault="005A6310" w:rsidP="005A6310">
      <w:pPr>
        <w:autoSpaceDE w:val="0"/>
        <w:autoSpaceDN w:val="0"/>
        <w:adjustRightInd w:val="0"/>
        <w:spacing w:after="0" w:line="240" w:lineRule="auto"/>
        <w:rPr>
          <w:rFonts w:ascii="Arial" w:hAnsi="Arial" w:cs="Arial"/>
          <w:color w:val="000000"/>
          <w:sz w:val="28"/>
          <w:szCs w:val="28"/>
        </w:rPr>
      </w:pPr>
    </w:p>
    <w:p w:rsidR="005A6310" w:rsidRPr="005A6310" w:rsidRDefault="005A6310" w:rsidP="005A6310">
      <w:pPr>
        <w:autoSpaceDE w:val="0"/>
        <w:autoSpaceDN w:val="0"/>
        <w:adjustRightInd w:val="0"/>
        <w:spacing w:after="0" w:line="221" w:lineRule="atLeast"/>
        <w:rPr>
          <w:rFonts w:ascii="Franklin Gothic Demi" w:hAnsi="Franklin Gothic Demi" w:cs="Franklin Gothic Demi"/>
          <w:color w:val="000000"/>
          <w:sz w:val="28"/>
          <w:szCs w:val="28"/>
        </w:rPr>
      </w:pPr>
      <w:r w:rsidRPr="005A6310">
        <w:rPr>
          <w:rFonts w:ascii="Franklin Gothic Demi" w:hAnsi="Franklin Gothic Demi" w:cs="Franklin Gothic Demi"/>
          <w:color w:val="000000"/>
          <w:sz w:val="28"/>
          <w:szCs w:val="28"/>
        </w:rPr>
        <w:t>Abstract</w:t>
      </w:r>
    </w:p>
    <w:p w:rsidR="005A6310" w:rsidRPr="005A6310" w:rsidRDefault="005A6310" w:rsidP="005A6310">
      <w:pPr>
        <w:autoSpaceDE w:val="0"/>
        <w:autoSpaceDN w:val="0"/>
        <w:adjustRightInd w:val="0"/>
        <w:spacing w:before="100" w:after="0" w:line="181" w:lineRule="atLeast"/>
        <w:jc w:val="both"/>
        <w:rPr>
          <w:rFonts w:ascii="Arial" w:hAnsi="Arial" w:cs="Arial"/>
          <w:color w:val="000000"/>
          <w:sz w:val="28"/>
          <w:szCs w:val="28"/>
        </w:rPr>
      </w:pPr>
      <w:r w:rsidRPr="005A6310">
        <w:rPr>
          <w:rFonts w:ascii="Arial" w:hAnsi="Arial" w:cs="Arial"/>
          <w:b/>
          <w:bCs/>
          <w:color w:val="000000"/>
          <w:sz w:val="28"/>
          <w:szCs w:val="28"/>
        </w:rPr>
        <w:t xml:space="preserve">Background: </w:t>
      </w:r>
      <w:r w:rsidRPr="005A6310">
        <w:rPr>
          <w:rFonts w:ascii="Arial" w:hAnsi="Arial" w:cs="Arial"/>
          <w:color w:val="000000"/>
          <w:sz w:val="28"/>
          <w:szCs w:val="28"/>
        </w:rPr>
        <w:t xml:space="preserve">Chronic obstructive pulmonary disease (COPD) is one of the most important reasons for hospitalization worldwide with high 30-day readmission rates. Although the prognostic significance of early readmission is not fully understood, they are often associated with poor outcomes including high mortality rates of 4%–19% at 30 and 365 days, respectively. Similarly, in acute exacerbations of COPD (AECOPD) cases receiving emergency department care, current status on lung function and cardiovascular </w:t>
      </w:r>
      <w:proofErr w:type="spellStart"/>
      <w:r w:rsidRPr="005A6310">
        <w:rPr>
          <w:rFonts w:ascii="Arial" w:hAnsi="Arial" w:cs="Arial"/>
          <w:color w:val="000000"/>
          <w:sz w:val="28"/>
          <w:szCs w:val="28"/>
        </w:rPr>
        <w:t>comorbidities</w:t>
      </w:r>
      <w:proofErr w:type="spellEnd"/>
      <w:r w:rsidRPr="005A6310">
        <w:rPr>
          <w:rFonts w:ascii="Arial" w:hAnsi="Arial" w:cs="Arial"/>
          <w:color w:val="000000"/>
          <w:sz w:val="28"/>
          <w:szCs w:val="28"/>
        </w:rPr>
        <w:t xml:space="preserve"> are considered as best predictors for both 30- and 90-day COPD readmission rates. Dual bronchodilator strategy with long-acting </w:t>
      </w:r>
      <w:proofErr w:type="spellStart"/>
      <w:r w:rsidRPr="005A6310">
        <w:rPr>
          <w:rFonts w:ascii="Arial" w:hAnsi="Arial" w:cs="Arial"/>
          <w:color w:val="000000"/>
          <w:sz w:val="28"/>
          <w:szCs w:val="28"/>
        </w:rPr>
        <w:t>muscarinic</w:t>
      </w:r>
      <w:proofErr w:type="spellEnd"/>
      <w:r w:rsidRPr="005A6310">
        <w:rPr>
          <w:rFonts w:ascii="Arial" w:hAnsi="Arial" w:cs="Arial"/>
          <w:color w:val="000000"/>
          <w:sz w:val="28"/>
          <w:szCs w:val="28"/>
        </w:rPr>
        <w:t xml:space="preserve"> antagonist (LAMA)/long-acting beta-agonists (LABA) is therefore recommended by GOLD (2019) in the </w:t>
      </w:r>
      <w:proofErr w:type="spellStart"/>
      <w:r w:rsidRPr="005A6310">
        <w:rPr>
          <w:rFonts w:ascii="Arial" w:hAnsi="Arial" w:cs="Arial"/>
          <w:color w:val="000000"/>
          <w:sz w:val="28"/>
          <w:szCs w:val="28"/>
        </w:rPr>
        <w:t>postdischarge</w:t>
      </w:r>
      <w:proofErr w:type="spellEnd"/>
      <w:r w:rsidRPr="005A6310">
        <w:rPr>
          <w:rFonts w:ascii="Arial" w:hAnsi="Arial" w:cs="Arial"/>
          <w:color w:val="000000"/>
          <w:sz w:val="28"/>
          <w:szCs w:val="28"/>
        </w:rPr>
        <w:t xml:space="preserve"> phase following an acute exacerbation.</w:t>
      </w:r>
    </w:p>
    <w:p w:rsidR="005A6310" w:rsidRPr="005A6310" w:rsidRDefault="005A6310" w:rsidP="005A6310">
      <w:pPr>
        <w:autoSpaceDE w:val="0"/>
        <w:autoSpaceDN w:val="0"/>
        <w:adjustRightInd w:val="0"/>
        <w:spacing w:before="100" w:after="0" w:line="181" w:lineRule="atLeast"/>
        <w:jc w:val="both"/>
        <w:rPr>
          <w:rFonts w:ascii="Arial" w:hAnsi="Arial" w:cs="Arial"/>
          <w:color w:val="000000"/>
          <w:sz w:val="28"/>
          <w:szCs w:val="28"/>
        </w:rPr>
      </w:pPr>
      <w:r w:rsidRPr="005A6310">
        <w:rPr>
          <w:rFonts w:ascii="Arial" w:hAnsi="Arial" w:cs="Arial"/>
          <w:b/>
          <w:bCs/>
          <w:color w:val="000000"/>
          <w:sz w:val="28"/>
          <w:szCs w:val="28"/>
        </w:rPr>
        <w:lastRenderedPageBreak/>
        <w:t xml:space="preserve">Aim: </w:t>
      </w:r>
      <w:r w:rsidRPr="005A6310">
        <w:rPr>
          <w:rFonts w:ascii="Arial" w:hAnsi="Arial" w:cs="Arial"/>
          <w:color w:val="000000"/>
          <w:sz w:val="28"/>
          <w:szCs w:val="28"/>
        </w:rPr>
        <w:t xml:space="preserve">To further assess the clinical impact of dual bronchodilators including </w:t>
      </w:r>
      <w:proofErr w:type="spellStart"/>
      <w:r w:rsidRPr="005A6310">
        <w:rPr>
          <w:rFonts w:ascii="Arial" w:hAnsi="Arial" w:cs="Arial"/>
          <w:color w:val="000000"/>
          <w:sz w:val="28"/>
          <w:szCs w:val="28"/>
        </w:rPr>
        <w:t>glycopyrronium</w:t>
      </w:r>
      <w:proofErr w:type="spellEnd"/>
      <w:r w:rsidRPr="005A6310">
        <w:rPr>
          <w:rFonts w:ascii="Arial" w:hAnsi="Arial" w:cs="Arial"/>
          <w:color w:val="000000"/>
          <w:sz w:val="28"/>
          <w:szCs w:val="28"/>
        </w:rPr>
        <w:t xml:space="preserve"> and </w:t>
      </w:r>
      <w:proofErr w:type="spellStart"/>
      <w:r w:rsidRPr="005A6310">
        <w:rPr>
          <w:rFonts w:ascii="Arial" w:hAnsi="Arial" w:cs="Arial"/>
          <w:color w:val="000000"/>
          <w:sz w:val="28"/>
          <w:szCs w:val="28"/>
        </w:rPr>
        <w:t>arformoterol</w:t>
      </w:r>
      <w:proofErr w:type="spellEnd"/>
      <w:r w:rsidRPr="005A6310">
        <w:rPr>
          <w:rFonts w:ascii="Arial" w:hAnsi="Arial" w:cs="Arial"/>
          <w:color w:val="000000"/>
          <w:sz w:val="28"/>
          <w:szCs w:val="28"/>
        </w:rPr>
        <w:t xml:space="preserve"> as home </w:t>
      </w:r>
      <w:proofErr w:type="spellStart"/>
      <w:r w:rsidRPr="005A6310">
        <w:rPr>
          <w:rFonts w:ascii="Arial" w:hAnsi="Arial" w:cs="Arial"/>
          <w:color w:val="000000"/>
          <w:sz w:val="28"/>
          <w:szCs w:val="28"/>
        </w:rPr>
        <w:t>nebulization</w:t>
      </w:r>
      <w:proofErr w:type="spellEnd"/>
      <w:r w:rsidRPr="005A6310">
        <w:rPr>
          <w:rFonts w:ascii="Arial" w:hAnsi="Arial" w:cs="Arial"/>
          <w:color w:val="000000"/>
          <w:sz w:val="28"/>
          <w:szCs w:val="28"/>
        </w:rPr>
        <w:t xml:space="preserve"> in the post-discharge phase of AECOPD, the current </w:t>
      </w:r>
      <w:proofErr w:type="spellStart"/>
      <w:r w:rsidRPr="005A6310">
        <w:rPr>
          <w:rFonts w:ascii="Arial" w:hAnsi="Arial" w:cs="Arial"/>
          <w:color w:val="000000"/>
          <w:sz w:val="28"/>
          <w:szCs w:val="28"/>
        </w:rPr>
        <w:t>postapproval</w:t>
      </w:r>
      <w:proofErr w:type="spellEnd"/>
      <w:r w:rsidRPr="005A6310">
        <w:rPr>
          <w:rFonts w:ascii="Arial" w:hAnsi="Arial" w:cs="Arial"/>
          <w:color w:val="000000"/>
          <w:sz w:val="28"/>
          <w:szCs w:val="28"/>
        </w:rPr>
        <w:t>, observational study was conducted.</w:t>
      </w:r>
    </w:p>
    <w:p w:rsidR="005A6310" w:rsidRPr="005A6310" w:rsidRDefault="005A6310" w:rsidP="005A6310">
      <w:pPr>
        <w:autoSpaceDE w:val="0"/>
        <w:autoSpaceDN w:val="0"/>
        <w:adjustRightInd w:val="0"/>
        <w:spacing w:before="100" w:after="0" w:line="181" w:lineRule="atLeast"/>
        <w:jc w:val="both"/>
        <w:rPr>
          <w:rFonts w:ascii="Arial" w:hAnsi="Arial" w:cs="Arial"/>
          <w:color w:val="000000"/>
          <w:sz w:val="28"/>
          <w:szCs w:val="28"/>
        </w:rPr>
      </w:pPr>
      <w:r w:rsidRPr="005A6310">
        <w:rPr>
          <w:rFonts w:ascii="Arial" w:hAnsi="Arial" w:cs="Arial"/>
          <w:b/>
          <w:bCs/>
          <w:color w:val="000000"/>
          <w:sz w:val="28"/>
          <w:szCs w:val="28"/>
        </w:rPr>
        <w:t xml:space="preserve">Materials and Methods: </w:t>
      </w:r>
      <w:r w:rsidRPr="005A6310">
        <w:rPr>
          <w:rFonts w:ascii="Arial" w:hAnsi="Arial" w:cs="Arial"/>
          <w:color w:val="000000"/>
          <w:sz w:val="28"/>
          <w:szCs w:val="28"/>
        </w:rPr>
        <w:t xml:space="preserve">An observational, concurrent, and non-inferiority study with </w:t>
      </w:r>
      <w:proofErr w:type="spellStart"/>
      <w:r w:rsidRPr="005A6310">
        <w:rPr>
          <w:rFonts w:ascii="Arial" w:hAnsi="Arial" w:cs="Arial"/>
          <w:color w:val="000000"/>
          <w:sz w:val="28"/>
          <w:szCs w:val="28"/>
        </w:rPr>
        <w:t>glycopyrronium</w:t>
      </w:r>
      <w:proofErr w:type="spellEnd"/>
      <w:r w:rsidRPr="005A6310">
        <w:rPr>
          <w:rFonts w:ascii="Arial" w:hAnsi="Arial" w:cs="Arial"/>
          <w:color w:val="000000"/>
          <w:sz w:val="28"/>
          <w:szCs w:val="28"/>
        </w:rPr>
        <w:t xml:space="preserve"> and </w:t>
      </w:r>
      <w:proofErr w:type="spellStart"/>
      <w:r w:rsidRPr="005A6310">
        <w:rPr>
          <w:rFonts w:ascii="Arial" w:hAnsi="Arial" w:cs="Arial"/>
          <w:color w:val="000000"/>
          <w:sz w:val="28"/>
          <w:szCs w:val="28"/>
        </w:rPr>
        <w:t>arformoterol</w:t>
      </w:r>
      <w:proofErr w:type="spellEnd"/>
      <w:r w:rsidRPr="005A6310">
        <w:rPr>
          <w:rFonts w:ascii="Arial" w:hAnsi="Arial" w:cs="Arial"/>
          <w:color w:val="000000"/>
          <w:sz w:val="28"/>
          <w:szCs w:val="28"/>
        </w:rPr>
        <w:t xml:space="preserve"> home </w:t>
      </w:r>
      <w:proofErr w:type="spellStart"/>
      <w:r w:rsidRPr="005A6310">
        <w:rPr>
          <w:rFonts w:ascii="Arial" w:hAnsi="Arial" w:cs="Arial"/>
          <w:color w:val="000000"/>
          <w:sz w:val="28"/>
          <w:szCs w:val="28"/>
        </w:rPr>
        <w:t>nebulizing</w:t>
      </w:r>
      <w:proofErr w:type="spellEnd"/>
      <w:r w:rsidRPr="005A6310">
        <w:rPr>
          <w:rFonts w:ascii="Arial" w:hAnsi="Arial" w:cs="Arial"/>
          <w:color w:val="000000"/>
          <w:sz w:val="28"/>
          <w:szCs w:val="28"/>
        </w:rPr>
        <w:t xml:space="preserve"> solutions on patients with moderate and severe COPD was conducted at two centers in India. An estimated sample size of 40 patients involving moderate and severe COPD cases was factored for per-protocol analyses with </w:t>
      </w:r>
      <w:r w:rsidRPr="005A6310">
        <w:rPr>
          <w:rFonts w:ascii="Arial" w:hAnsi="Arial" w:cs="Arial"/>
          <w:i/>
          <w:iCs/>
          <w:color w:val="000000"/>
          <w:sz w:val="28"/>
          <w:szCs w:val="28"/>
        </w:rPr>
        <w:t xml:space="preserve">P </w:t>
      </w:r>
      <w:r w:rsidRPr="005A6310">
        <w:rPr>
          <w:rFonts w:ascii="Arial" w:hAnsi="Arial" w:cs="Arial"/>
          <w:color w:val="000000"/>
          <w:sz w:val="28"/>
          <w:szCs w:val="28"/>
        </w:rPr>
        <w:t>&lt; 0.05 considered as statistically significant. A concurrent study analysis for the follow-up visit was conducted as per the principles of International Conference of Harmonization for Good clinical practice and Declaration of Helsinki while ensuring confidentiality during access of patient support registration sheets.</w:t>
      </w:r>
    </w:p>
    <w:p w:rsidR="005A6310" w:rsidRPr="005A6310" w:rsidRDefault="005A6310" w:rsidP="005A6310">
      <w:pPr>
        <w:autoSpaceDE w:val="0"/>
        <w:autoSpaceDN w:val="0"/>
        <w:adjustRightInd w:val="0"/>
        <w:spacing w:before="100" w:after="0" w:line="181" w:lineRule="atLeast"/>
        <w:jc w:val="both"/>
        <w:rPr>
          <w:rFonts w:ascii="Arial" w:hAnsi="Arial" w:cs="Arial"/>
          <w:color w:val="000000"/>
          <w:sz w:val="28"/>
          <w:szCs w:val="28"/>
        </w:rPr>
      </w:pPr>
      <w:r w:rsidRPr="005A6310">
        <w:rPr>
          <w:rFonts w:ascii="Arial" w:hAnsi="Arial" w:cs="Arial"/>
          <w:b/>
          <w:bCs/>
          <w:color w:val="000000"/>
          <w:sz w:val="28"/>
          <w:szCs w:val="28"/>
        </w:rPr>
        <w:t xml:space="preserve">Results: </w:t>
      </w:r>
      <w:r w:rsidRPr="005A6310">
        <w:rPr>
          <w:rFonts w:ascii="Arial" w:hAnsi="Arial" w:cs="Arial"/>
          <w:color w:val="000000"/>
          <w:sz w:val="28"/>
          <w:szCs w:val="28"/>
        </w:rPr>
        <w:t xml:space="preserve">Per protocol analyses for consecutive 46 cases from two centers receiving </w:t>
      </w:r>
      <w:proofErr w:type="spellStart"/>
      <w:r w:rsidRPr="005A6310">
        <w:rPr>
          <w:rFonts w:ascii="Arial" w:hAnsi="Arial" w:cs="Arial"/>
          <w:color w:val="000000"/>
          <w:sz w:val="28"/>
          <w:szCs w:val="28"/>
        </w:rPr>
        <w:t>Nebulized</w:t>
      </w:r>
      <w:proofErr w:type="spellEnd"/>
      <w:r w:rsidRPr="005A6310">
        <w:rPr>
          <w:rFonts w:ascii="Arial" w:hAnsi="Arial" w:cs="Arial"/>
          <w:color w:val="000000"/>
          <w:sz w:val="28"/>
          <w:szCs w:val="28"/>
        </w:rPr>
        <w:t xml:space="preserve"> </w:t>
      </w:r>
      <w:proofErr w:type="spellStart"/>
      <w:r w:rsidRPr="005A6310">
        <w:rPr>
          <w:rFonts w:ascii="Arial" w:hAnsi="Arial" w:cs="Arial"/>
          <w:color w:val="000000"/>
          <w:sz w:val="28"/>
          <w:szCs w:val="28"/>
        </w:rPr>
        <w:t>glycopyrronium</w:t>
      </w:r>
      <w:proofErr w:type="spellEnd"/>
      <w:r w:rsidRPr="005A6310">
        <w:rPr>
          <w:rFonts w:ascii="Arial" w:hAnsi="Arial" w:cs="Arial"/>
          <w:color w:val="000000"/>
          <w:sz w:val="28"/>
          <w:szCs w:val="28"/>
        </w:rPr>
        <w:t xml:space="preserve"> (25 mcg) and </w:t>
      </w:r>
      <w:proofErr w:type="spellStart"/>
      <w:r w:rsidRPr="005A6310">
        <w:rPr>
          <w:rFonts w:ascii="Arial" w:hAnsi="Arial" w:cs="Arial"/>
          <w:color w:val="000000"/>
          <w:sz w:val="28"/>
          <w:szCs w:val="28"/>
        </w:rPr>
        <w:t>arformoterol</w:t>
      </w:r>
      <w:proofErr w:type="spellEnd"/>
      <w:r w:rsidRPr="005A6310">
        <w:rPr>
          <w:rFonts w:ascii="Arial" w:hAnsi="Arial" w:cs="Arial"/>
          <w:color w:val="000000"/>
          <w:sz w:val="28"/>
          <w:szCs w:val="28"/>
        </w:rPr>
        <w:t xml:space="preserve"> (15 mcg), as separate formulations are given as admixed solution with follow-up visit for at least 4 weeks was carried out. Baseline demographics for the overall group showed exacerbation history (46, 100%), hospitalization for AECOPD (21, 45.6%); ED visit (25, 54.3%), forced expiratory volume in one second (FEV1) 1.2 ± 0.6 L/min; FEV1/FVC64.8% ± 10.6; reversibility 8.4% ± 11.8; CAT 34.6 ± 2.3; and vibrating mesh nebulizer (46, 100%). The mean </w:t>
      </w:r>
      <w:proofErr w:type="spellStart"/>
      <w:r w:rsidRPr="005A6310">
        <w:rPr>
          <w:rFonts w:ascii="Arial" w:hAnsi="Arial" w:cs="Arial"/>
          <w:color w:val="000000"/>
          <w:sz w:val="28"/>
          <w:szCs w:val="28"/>
        </w:rPr>
        <w:t>predose</w:t>
      </w:r>
      <w:proofErr w:type="spellEnd"/>
      <w:r w:rsidRPr="005A6310">
        <w:rPr>
          <w:rFonts w:ascii="Arial" w:hAnsi="Arial" w:cs="Arial"/>
          <w:color w:val="000000"/>
          <w:sz w:val="28"/>
          <w:szCs w:val="28"/>
        </w:rPr>
        <w:t xml:space="preserve"> FEV1 (Δ) at the end of 4 weeks for overall, moderate and severe COPD cases were observed as of 9.6±3.1%, 11.8% ± 3.1, and 8.4% ± 1.6, respectively (</w:t>
      </w:r>
      <w:r w:rsidRPr="005A6310">
        <w:rPr>
          <w:rFonts w:ascii="Arial" w:hAnsi="Arial" w:cs="Arial"/>
          <w:i/>
          <w:iCs/>
          <w:color w:val="000000"/>
          <w:sz w:val="28"/>
          <w:szCs w:val="28"/>
        </w:rPr>
        <w:t xml:space="preserve">P </w:t>
      </w:r>
      <w:r w:rsidRPr="005A6310">
        <w:rPr>
          <w:rFonts w:ascii="Arial" w:hAnsi="Arial" w:cs="Arial"/>
          <w:color w:val="000000"/>
          <w:sz w:val="28"/>
          <w:szCs w:val="28"/>
        </w:rPr>
        <w:t>&lt; 0.0001). Similarly, the mean CAT(Δ) score at the end of 4 weeks was observed as of 18.1 ± 0.69, 20.6 ± 0.69, and 18.26 ± 0.6 for overall, moderate and severe COPD cases, respectively (</w:t>
      </w:r>
      <w:r w:rsidRPr="005A6310">
        <w:rPr>
          <w:rFonts w:ascii="Arial" w:hAnsi="Arial" w:cs="Arial"/>
          <w:i/>
          <w:iCs/>
          <w:color w:val="000000"/>
          <w:sz w:val="28"/>
          <w:szCs w:val="28"/>
        </w:rPr>
        <w:t xml:space="preserve">P </w:t>
      </w:r>
      <w:r w:rsidRPr="005A6310">
        <w:rPr>
          <w:rFonts w:ascii="Arial" w:hAnsi="Arial" w:cs="Arial"/>
          <w:color w:val="000000"/>
          <w:sz w:val="28"/>
          <w:szCs w:val="28"/>
        </w:rPr>
        <w:t>&lt; 0.0001). The intergroup differences for rescue medication use for a lone case with severe COPD (1, 2.04%) complied with the suggested non-inferiority margin between the groups. There were no other treatment-emergent adverse events or serious adverse events that warranted treatment modification or withdrawals in both groups.</w:t>
      </w:r>
    </w:p>
    <w:p w:rsidR="005A6310" w:rsidRPr="005A6310" w:rsidRDefault="005A6310" w:rsidP="005A6310">
      <w:pPr>
        <w:autoSpaceDE w:val="0"/>
        <w:autoSpaceDN w:val="0"/>
        <w:adjustRightInd w:val="0"/>
        <w:spacing w:before="100" w:after="0" w:line="181" w:lineRule="atLeast"/>
        <w:jc w:val="both"/>
        <w:rPr>
          <w:rFonts w:ascii="Arial" w:hAnsi="Arial" w:cs="Arial"/>
          <w:color w:val="000000"/>
          <w:sz w:val="28"/>
          <w:szCs w:val="28"/>
        </w:rPr>
      </w:pPr>
      <w:r w:rsidRPr="005A6310">
        <w:rPr>
          <w:rFonts w:ascii="Arial" w:hAnsi="Arial" w:cs="Arial"/>
          <w:b/>
          <w:bCs/>
          <w:color w:val="000000"/>
          <w:sz w:val="28"/>
          <w:szCs w:val="28"/>
        </w:rPr>
        <w:t xml:space="preserve">Conclusion: </w:t>
      </w:r>
      <w:proofErr w:type="spellStart"/>
      <w:r w:rsidRPr="005A6310">
        <w:rPr>
          <w:rFonts w:ascii="Arial" w:hAnsi="Arial" w:cs="Arial"/>
          <w:color w:val="000000"/>
          <w:sz w:val="28"/>
          <w:szCs w:val="28"/>
        </w:rPr>
        <w:t>Glycopyrronium</w:t>
      </w:r>
      <w:proofErr w:type="spellEnd"/>
      <w:r w:rsidRPr="005A6310">
        <w:rPr>
          <w:rFonts w:ascii="Arial" w:hAnsi="Arial" w:cs="Arial"/>
          <w:color w:val="000000"/>
          <w:sz w:val="28"/>
          <w:szCs w:val="28"/>
        </w:rPr>
        <w:t xml:space="preserve"> and </w:t>
      </w:r>
      <w:proofErr w:type="spellStart"/>
      <w:r w:rsidRPr="005A6310">
        <w:rPr>
          <w:rFonts w:ascii="Arial" w:hAnsi="Arial" w:cs="Arial"/>
          <w:color w:val="000000"/>
          <w:sz w:val="28"/>
          <w:szCs w:val="28"/>
        </w:rPr>
        <w:t>arformoterol</w:t>
      </w:r>
      <w:proofErr w:type="spellEnd"/>
      <w:r w:rsidRPr="005A6310">
        <w:rPr>
          <w:rFonts w:ascii="Arial" w:hAnsi="Arial" w:cs="Arial"/>
          <w:color w:val="000000"/>
          <w:sz w:val="28"/>
          <w:szCs w:val="28"/>
        </w:rPr>
        <w:t xml:space="preserve"> home </w:t>
      </w:r>
      <w:proofErr w:type="spellStart"/>
      <w:r w:rsidRPr="005A6310">
        <w:rPr>
          <w:rFonts w:ascii="Arial" w:hAnsi="Arial" w:cs="Arial"/>
          <w:color w:val="000000"/>
          <w:sz w:val="28"/>
          <w:szCs w:val="28"/>
        </w:rPr>
        <w:t>nebulization</w:t>
      </w:r>
      <w:proofErr w:type="spellEnd"/>
      <w:r w:rsidRPr="005A6310">
        <w:rPr>
          <w:rFonts w:ascii="Arial" w:hAnsi="Arial" w:cs="Arial"/>
          <w:color w:val="000000"/>
          <w:sz w:val="28"/>
          <w:szCs w:val="28"/>
        </w:rPr>
        <w:t xml:space="preserve"> with Vibrating mesh nebulizer (VMN) offers </w:t>
      </w:r>
      <w:proofErr w:type="spellStart"/>
      <w:r w:rsidRPr="005A6310">
        <w:rPr>
          <w:rFonts w:ascii="Arial" w:hAnsi="Arial" w:cs="Arial"/>
          <w:color w:val="000000"/>
          <w:sz w:val="28"/>
          <w:szCs w:val="28"/>
        </w:rPr>
        <w:t>bronchodilation</w:t>
      </w:r>
      <w:proofErr w:type="spellEnd"/>
      <w:r w:rsidRPr="005A6310">
        <w:rPr>
          <w:rFonts w:ascii="Arial" w:hAnsi="Arial" w:cs="Arial"/>
          <w:color w:val="000000"/>
          <w:sz w:val="28"/>
          <w:szCs w:val="28"/>
        </w:rPr>
        <w:t xml:space="preserve"> that is clinically significant with successful use of the drugs as “Rescue Medication” in post-discharge high-risk symptomatic AECOPD cases.</w:t>
      </w:r>
    </w:p>
    <w:p w:rsidR="005A6310" w:rsidRPr="005A6310" w:rsidRDefault="005A6310" w:rsidP="005A6310">
      <w:pPr>
        <w:autoSpaceDE w:val="0"/>
        <w:autoSpaceDN w:val="0"/>
        <w:adjustRightInd w:val="0"/>
        <w:spacing w:before="220" w:after="0" w:line="181" w:lineRule="atLeast"/>
        <w:rPr>
          <w:rFonts w:ascii="Arial" w:hAnsi="Arial" w:cs="Arial"/>
          <w:color w:val="000000"/>
          <w:sz w:val="28"/>
          <w:szCs w:val="28"/>
        </w:rPr>
      </w:pPr>
      <w:r w:rsidRPr="005A6310">
        <w:rPr>
          <w:rFonts w:ascii="Arial" w:hAnsi="Arial" w:cs="Arial"/>
          <w:b/>
          <w:bCs/>
          <w:color w:val="000000"/>
          <w:sz w:val="28"/>
          <w:szCs w:val="28"/>
        </w:rPr>
        <w:lastRenderedPageBreak/>
        <w:t xml:space="preserve">Key words: </w:t>
      </w:r>
      <w:r w:rsidRPr="005A6310">
        <w:rPr>
          <w:rFonts w:ascii="Arial" w:hAnsi="Arial" w:cs="Arial"/>
          <w:color w:val="000000"/>
          <w:sz w:val="28"/>
          <w:szCs w:val="28"/>
        </w:rPr>
        <w:t xml:space="preserve">Acute exacerbation of chronic obstructive pulmonary disease, </w:t>
      </w:r>
      <w:proofErr w:type="spellStart"/>
      <w:r w:rsidRPr="005A6310">
        <w:rPr>
          <w:rFonts w:ascii="Arial" w:hAnsi="Arial" w:cs="Arial"/>
          <w:color w:val="000000"/>
          <w:sz w:val="28"/>
          <w:szCs w:val="28"/>
        </w:rPr>
        <w:t>Arformoterol</w:t>
      </w:r>
      <w:proofErr w:type="spellEnd"/>
      <w:r w:rsidRPr="005A6310">
        <w:rPr>
          <w:rFonts w:ascii="Arial" w:hAnsi="Arial" w:cs="Arial"/>
          <w:color w:val="000000"/>
          <w:sz w:val="28"/>
          <w:szCs w:val="28"/>
        </w:rPr>
        <w:t xml:space="preserve">, </w:t>
      </w:r>
      <w:proofErr w:type="spellStart"/>
      <w:r w:rsidRPr="005A6310">
        <w:rPr>
          <w:rFonts w:ascii="Arial" w:hAnsi="Arial" w:cs="Arial"/>
          <w:color w:val="000000"/>
          <w:sz w:val="28"/>
          <w:szCs w:val="28"/>
        </w:rPr>
        <w:t>Glycopyrronium</w:t>
      </w:r>
      <w:proofErr w:type="spellEnd"/>
      <w:r w:rsidRPr="005A6310">
        <w:rPr>
          <w:rFonts w:ascii="Arial" w:hAnsi="Arial" w:cs="Arial"/>
          <w:color w:val="000000"/>
          <w:sz w:val="28"/>
          <w:szCs w:val="28"/>
        </w:rPr>
        <w:t xml:space="preserve">, Home </w:t>
      </w:r>
      <w:proofErr w:type="spellStart"/>
      <w:r w:rsidRPr="005A6310">
        <w:rPr>
          <w:rFonts w:ascii="Arial" w:hAnsi="Arial" w:cs="Arial"/>
          <w:color w:val="000000"/>
          <w:sz w:val="28"/>
          <w:szCs w:val="28"/>
        </w:rPr>
        <w:t>nebulization</w:t>
      </w:r>
      <w:proofErr w:type="spellEnd"/>
      <w:r w:rsidRPr="005A6310">
        <w:rPr>
          <w:rFonts w:ascii="Arial" w:hAnsi="Arial" w:cs="Arial"/>
          <w:color w:val="000000"/>
          <w:sz w:val="28"/>
          <w:szCs w:val="28"/>
        </w:rPr>
        <w:t>, High risk COPD, Vibrating mesh nebulizer</w:t>
      </w:r>
    </w:p>
    <w:tbl>
      <w:tblPr>
        <w:tblW w:w="0" w:type="auto"/>
        <w:tblBorders>
          <w:top w:val="nil"/>
          <w:left w:val="nil"/>
          <w:bottom w:val="nil"/>
          <w:right w:val="nil"/>
        </w:tblBorders>
        <w:tblLayout w:type="fixed"/>
        <w:tblLook w:val="0000"/>
      </w:tblPr>
      <w:tblGrid>
        <w:gridCol w:w="2429"/>
        <w:gridCol w:w="2430"/>
      </w:tblGrid>
      <w:tr w:rsidR="005A6310" w:rsidRPr="005A6310">
        <w:tblPrEx>
          <w:tblCellMar>
            <w:top w:w="0" w:type="dxa"/>
            <w:bottom w:w="0" w:type="dxa"/>
          </w:tblCellMar>
        </w:tblPrEx>
        <w:trPr>
          <w:trHeight w:val="83"/>
        </w:trPr>
        <w:tc>
          <w:tcPr>
            <w:tcW w:w="4859" w:type="dxa"/>
            <w:gridSpan w:val="2"/>
          </w:tcPr>
          <w:p w:rsidR="005A6310" w:rsidRPr="005A6310" w:rsidRDefault="005A6310" w:rsidP="005A6310">
            <w:pPr>
              <w:autoSpaceDE w:val="0"/>
              <w:autoSpaceDN w:val="0"/>
              <w:adjustRightInd w:val="0"/>
              <w:spacing w:before="40" w:after="40" w:line="141" w:lineRule="atLeast"/>
              <w:jc w:val="center"/>
              <w:rPr>
                <w:rFonts w:ascii="Swis721 BT" w:hAnsi="Swis721 BT" w:cs="Swis721 BT"/>
                <w:color w:val="000000"/>
                <w:sz w:val="28"/>
                <w:szCs w:val="28"/>
              </w:rPr>
            </w:pPr>
          </w:p>
        </w:tc>
      </w:tr>
      <w:tr w:rsidR="005A6310" w:rsidRPr="005A6310">
        <w:tblPrEx>
          <w:tblCellMar>
            <w:top w:w="0" w:type="dxa"/>
            <w:bottom w:w="0" w:type="dxa"/>
          </w:tblCellMar>
        </w:tblPrEx>
        <w:trPr>
          <w:trHeight w:val="583"/>
        </w:trPr>
        <w:tc>
          <w:tcPr>
            <w:tcW w:w="2429" w:type="dxa"/>
          </w:tcPr>
          <w:p w:rsidR="005A6310" w:rsidRPr="005A6310" w:rsidRDefault="005A6310" w:rsidP="005A6310">
            <w:pPr>
              <w:autoSpaceDE w:val="0"/>
              <w:autoSpaceDN w:val="0"/>
              <w:adjustRightInd w:val="0"/>
              <w:spacing w:before="100" w:after="60" w:line="141" w:lineRule="atLeast"/>
              <w:ind w:firstLine="220"/>
              <w:rPr>
                <w:rFonts w:ascii="Arial" w:hAnsi="Arial" w:cs="Arial"/>
                <w:color w:val="000000"/>
                <w:sz w:val="28"/>
                <w:szCs w:val="28"/>
              </w:rPr>
            </w:pPr>
          </w:p>
        </w:tc>
        <w:tc>
          <w:tcPr>
            <w:tcW w:w="2429" w:type="dxa"/>
          </w:tcPr>
          <w:p w:rsidR="005A6310" w:rsidRPr="005A6310" w:rsidRDefault="005A6310" w:rsidP="005A6310">
            <w:pPr>
              <w:autoSpaceDE w:val="0"/>
              <w:autoSpaceDN w:val="0"/>
              <w:adjustRightInd w:val="0"/>
              <w:spacing w:after="0" w:line="181" w:lineRule="atLeast"/>
              <w:rPr>
                <w:rFonts w:ascii="Arial" w:hAnsi="Arial" w:cs="Arial"/>
                <w:color w:val="000000"/>
                <w:sz w:val="28"/>
                <w:szCs w:val="28"/>
              </w:rPr>
            </w:pPr>
          </w:p>
        </w:tc>
      </w:tr>
    </w:tbl>
    <w:p w:rsidR="005A6310" w:rsidRPr="005A6310" w:rsidRDefault="005A6310" w:rsidP="005A6310">
      <w:pPr>
        <w:rPr>
          <w:sz w:val="32"/>
          <w:szCs w:val="32"/>
        </w:rPr>
      </w:pPr>
    </w:p>
    <w:sectPr w:rsidR="005A6310" w:rsidRPr="005A6310" w:rsidSect="006212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Swis721 BT">
    <w:altName w:val="Swis721 BT"/>
    <w:panose1 w:val="00000000000000000000"/>
    <w:charset w:val="00"/>
    <w:family w:val="swiss"/>
    <w:notTrueType/>
    <w:pitch w:val="default"/>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Univers 47 CondensedLight">
    <w:altName w:val="Univers 47 CondensedLight"/>
    <w:panose1 w:val="00000000000000000000"/>
    <w:charset w:val="00"/>
    <w:family w:val="swiss"/>
    <w:notTrueType/>
    <w:pitch w:val="default"/>
    <w:sig w:usb0="00000003" w:usb1="00000000" w:usb2="00000000" w:usb3="00000000" w:csb0="00000001" w:csb1="00000000"/>
  </w:font>
  <w:font w:name="Franklin Gothic Demi">
    <w:altName w:val="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5A6310"/>
    <w:rsid w:val="005A6310"/>
    <w:rsid w:val="006212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2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A631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3">
    <w:name w:val="A3"/>
    <w:uiPriority w:val="99"/>
    <w:rsid w:val="005A6310"/>
    <w:rPr>
      <w:rFonts w:ascii="Swis721 BT" w:hAnsi="Swis721 BT" w:cs="Swis721 BT"/>
      <w:b/>
      <w:bCs/>
      <w:color w:val="000000"/>
      <w:sz w:val="11"/>
      <w:szCs w:val="11"/>
    </w:rPr>
  </w:style>
  <w:style w:type="paragraph" w:customStyle="1" w:styleId="Pa4">
    <w:name w:val="Pa4"/>
    <w:basedOn w:val="Default"/>
    <w:next w:val="Default"/>
    <w:uiPriority w:val="99"/>
    <w:rsid w:val="005A6310"/>
    <w:pPr>
      <w:spacing w:line="161" w:lineRule="atLeast"/>
    </w:pPr>
    <w:rPr>
      <w:color w:val="auto"/>
    </w:rPr>
  </w:style>
  <w:style w:type="character" w:customStyle="1" w:styleId="A4">
    <w:name w:val="A4"/>
    <w:uiPriority w:val="99"/>
    <w:rsid w:val="005A6310"/>
    <w:rPr>
      <w:rFonts w:ascii="Arial" w:hAnsi="Arial" w:cs="Arial"/>
      <w:color w:val="000000"/>
      <w:sz w:val="9"/>
      <w:szCs w:val="9"/>
    </w:rPr>
  </w:style>
  <w:style w:type="paragraph" w:customStyle="1" w:styleId="Pa9">
    <w:name w:val="Pa9"/>
    <w:basedOn w:val="Default"/>
    <w:next w:val="Default"/>
    <w:uiPriority w:val="99"/>
    <w:rsid w:val="005A6310"/>
    <w:pPr>
      <w:spacing w:line="141" w:lineRule="atLeast"/>
    </w:pPr>
    <w:rPr>
      <w:rFonts w:ascii="Arial" w:hAnsi="Arial" w:cs="Arial"/>
      <w:color w:val="auto"/>
    </w:rPr>
  </w:style>
  <w:style w:type="paragraph" w:customStyle="1" w:styleId="Pa6">
    <w:name w:val="Pa6"/>
    <w:basedOn w:val="Default"/>
    <w:next w:val="Default"/>
    <w:uiPriority w:val="99"/>
    <w:rsid w:val="005A6310"/>
    <w:pPr>
      <w:spacing w:line="221" w:lineRule="atLeast"/>
    </w:pPr>
    <w:rPr>
      <w:rFonts w:ascii="Arial" w:hAnsi="Arial" w:cs="Arial"/>
      <w:color w:val="auto"/>
    </w:rPr>
  </w:style>
  <w:style w:type="paragraph" w:customStyle="1" w:styleId="Pa7">
    <w:name w:val="Pa7"/>
    <w:basedOn w:val="Default"/>
    <w:next w:val="Default"/>
    <w:uiPriority w:val="99"/>
    <w:rsid w:val="005A6310"/>
    <w:pPr>
      <w:spacing w:line="181" w:lineRule="atLeast"/>
    </w:pPr>
    <w:rPr>
      <w:rFonts w:ascii="Arial" w:hAnsi="Arial" w:cs="Arial"/>
      <w:color w:val="auto"/>
    </w:rPr>
  </w:style>
  <w:style w:type="character" w:customStyle="1" w:styleId="A9">
    <w:name w:val="A9"/>
    <w:uiPriority w:val="99"/>
    <w:rsid w:val="005A6310"/>
    <w:rPr>
      <w:color w:val="000000"/>
      <w:sz w:val="10"/>
      <w:szCs w:val="1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581</Words>
  <Characters>3317</Characters>
  <Application>Microsoft Office Word</Application>
  <DocSecurity>0</DocSecurity>
  <Lines>27</Lines>
  <Paragraphs>7</Paragraphs>
  <ScaleCrop>false</ScaleCrop>
  <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saumil</dc:creator>
  <cp:lastModifiedBy>saumil</cp:lastModifiedBy>
  <cp:revision>1</cp:revision>
  <dcterms:created xsi:type="dcterms:W3CDTF">2019-10-22T09:12:00Z</dcterms:created>
  <dcterms:modified xsi:type="dcterms:W3CDTF">2019-10-22T09:15:00Z</dcterms:modified>
</cp:coreProperties>
</file>