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33A5F" w:rsidP="00494130">
      <w:pPr>
        <w:pStyle w:val="Ttulo1"/>
        <w:spacing w:before="170"/>
        <w:ind w:left="0"/>
      </w:pPr>
      <w:r w:rsidRPr="00F33A5F">
        <w:rPr>
          <w:color w:val="337AB7"/>
        </w:rPr>
        <w:t>Chakra’s energy deficiency as the main cause of infertility in women</w:t>
      </w:r>
    </w:p>
    <w:p w:rsidR="005973B9" w:rsidRDefault="00F33A5F" w:rsidP="005973B9">
      <w:pPr>
        <w:pStyle w:val="Corpodetexto"/>
        <w:spacing w:before="73" w:line="198" w:lineRule="exact"/>
        <w:ind w:left="100" w:right="5987"/>
        <w:rPr>
          <w:rFonts w:ascii="Arial"/>
        </w:rPr>
      </w:pPr>
      <w:r>
        <w:rPr>
          <w:rFonts w:ascii="Arial"/>
        </w:rPr>
        <w:t>Huang Wei Ling</w:t>
      </w:r>
    </w:p>
    <w:p w:rsidR="00F33A5F" w:rsidRDefault="00F33A5F" w:rsidP="005973B9">
      <w:pPr>
        <w:pStyle w:val="Corpodetexto"/>
        <w:spacing w:before="73" w:line="198" w:lineRule="exact"/>
        <w:ind w:left="100" w:right="5987"/>
        <w:rPr>
          <w:rFonts w:ascii="Arial"/>
        </w:rPr>
      </w:pPr>
      <w:r>
        <w:rPr>
          <w:rFonts w:ascii="Arial"/>
        </w:rPr>
        <w:t>Medical Acupuncture and Pain Management Clinic, Franca, S</w:t>
      </w:r>
      <w:r>
        <w:rPr>
          <w:rFonts w:ascii="Arial"/>
        </w:rPr>
        <w:t>ã</w:t>
      </w:r>
      <w:r>
        <w:rPr>
          <w:rFonts w:ascii="Arial"/>
        </w:rPr>
        <w:t>o Paulo, Brazil</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Pr="00F33A5F" w:rsidRDefault="00F33A5F" w:rsidP="00F33A5F">
      <w:pPr>
        <w:pStyle w:val="Corpodetexto"/>
        <w:spacing w:before="90" w:line="280" w:lineRule="auto"/>
        <w:ind w:left="100"/>
        <w:jc w:val="both"/>
      </w:pPr>
      <w:r w:rsidRPr="00F33A5F">
        <w:t>Statement of the problem: Female infertility is d</w:t>
      </w:r>
      <w:bookmarkStart w:id="0" w:name="_GoBack"/>
      <w:bookmarkEnd w:id="0"/>
      <w:r w:rsidRPr="00F33A5F">
        <w:t xml:space="preserve">efined as the inability to conceive or carry a pregnancy to term after 12 months of unprotected intercourse or six months if the woman is over 35 years old. The purpose of this study is to demonstrate that infertility problems may be associated with Chakras energy deficiency and deficiency of the massive organs in the Five Elements Theory, especially the Kidney, which is the energy responsible for the reproduction. Methodology: Three case reports of three couples, of women with infertility, with all laboratory tests appearing normal and low sperm count in all the men. In the first case report, they had already been trying IVF treatment with no success. From the energy point of view, in the three cases, all their chakras were depleted. All patients were treated with acupuncture, Chinese dietary counseling, and treatment of the chakras’ energy with homeopathy and crystal-based medications. Findings: The three patients were able to achieve pregnancy after the treatment with acupuncture, Chinese dietary nutrition, and replenishment of the chakras’ energy through homeopathy and crystal-based medication. Only the first patient made use of IVF. Conclusion: Normal laboratory fertility exams do not mean the absence of disease. It is important to study in the energy level, which is invisible to the naked eye. The corrections of the chakra’s energy and the Yin, Yang, Qi, and Blood energies, lead to a more successful treatment. The corrections of the energy imbalances improve the blood production, responsible for the fetus’s nutrition, and tones the chakras, mainly the second, represented by the Kidney’s energy, leading to an </w:t>
      </w:r>
      <w:r w:rsidRPr="00F33A5F">
        <w:lastRenderedPageBreak/>
        <w:t>improvement of the conception. Even though infertility may be attributed exclusively to women, the energy of both sides of the couple has to be adequate for achieving pregnancy.</w:t>
      </w:r>
    </w:p>
    <w:p w:rsidR="00AE3E37" w:rsidRDefault="00AE3E37">
      <w:pPr>
        <w:pStyle w:val="Ttulo3"/>
        <w:spacing w:before="74"/>
      </w:pPr>
    </w:p>
    <w:p w:rsidR="00AE3E37"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F33A5F" w:rsidRDefault="00F33A5F" w:rsidP="00F33A5F">
      <w:pPr>
        <w:pStyle w:val="Corpodetexto"/>
        <w:numPr>
          <w:ilvl w:val="0"/>
          <w:numId w:val="4"/>
        </w:numPr>
        <w:spacing w:before="85" w:line="216" w:lineRule="exact"/>
        <w:ind w:right="138"/>
        <w:jc w:val="both"/>
        <w:rPr>
          <w:rFonts w:ascii="Calibri" w:eastAsia="Calibri" w:hAnsi="Calibri" w:cs="Calibri"/>
          <w:szCs w:val="22"/>
        </w:rPr>
      </w:pPr>
      <w:r>
        <w:rPr>
          <w:rFonts w:ascii="Calibri" w:eastAsia="Calibri" w:hAnsi="Calibri" w:cs="Calibri"/>
          <w:szCs w:val="22"/>
        </w:rPr>
        <w:t xml:space="preserve">Huang Wei Ling. </w:t>
      </w:r>
      <w:r w:rsidRPr="00F33A5F">
        <w:rPr>
          <w:rFonts w:ascii="Calibri" w:eastAsia="Calibri" w:hAnsi="Calibri" w:cs="Calibri"/>
          <w:szCs w:val="22"/>
        </w:rPr>
        <w:t xml:space="preserve">Energy Imbalances and Chakras Energy Replenishment to Treat Patients with Urinary Incontinence and Sexual Dysfunction Post-Cancer Prostatectomy. J </w:t>
      </w:r>
      <w:proofErr w:type="spellStart"/>
      <w:r w:rsidRPr="00F33A5F">
        <w:rPr>
          <w:rFonts w:ascii="Calibri" w:eastAsia="Calibri" w:hAnsi="Calibri" w:cs="Calibri"/>
          <w:szCs w:val="22"/>
        </w:rPr>
        <w:t>Androl</w:t>
      </w:r>
      <w:proofErr w:type="spellEnd"/>
      <w:r w:rsidRPr="00F33A5F">
        <w:rPr>
          <w:rFonts w:ascii="Calibri" w:eastAsia="Calibri" w:hAnsi="Calibri" w:cs="Calibri"/>
          <w:szCs w:val="22"/>
        </w:rPr>
        <w:t xml:space="preserve"> </w:t>
      </w:r>
      <w:proofErr w:type="spellStart"/>
      <w:r w:rsidRPr="00F33A5F">
        <w:rPr>
          <w:rFonts w:ascii="Calibri" w:eastAsia="Calibri" w:hAnsi="Calibri" w:cs="Calibri"/>
          <w:szCs w:val="22"/>
        </w:rPr>
        <w:t>Gynaecol</w:t>
      </w:r>
      <w:proofErr w:type="spellEnd"/>
      <w:r w:rsidRPr="00F33A5F">
        <w:rPr>
          <w:rFonts w:ascii="Calibri" w:eastAsia="Calibri" w:hAnsi="Calibri" w:cs="Calibri"/>
          <w:szCs w:val="22"/>
        </w:rPr>
        <w:t xml:space="preserve">. 2020; 8(1):7. </w:t>
      </w:r>
    </w:p>
    <w:p w:rsidR="00F33A5F" w:rsidRDefault="00F33A5F" w:rsidP="00F33A5F">
      <w:pPr>
        <w:pStyle w:val="Corpodetexto"/>
        <w:numPr>
          <w:ilvl w:val="0"/>
          <w:numId w:val="4"/>
        </w:numPr>
        <w:spacing w:before="85" w:line="216" w:lineRule="exact"/>
        <w:ind w:right="138"/>
        <w:jc w:val="both"/>
        <w:rPr>
          <w:rFonts w:ascii="Calibri" w:eastAsia="Calibri" w:hAnsi="Calibri" w:cs="Calibri"/>
          <w:szCs w:val="22"/>
        </w:rPr>
      </w:pPr>
      <w:r>
        <w:rPr>
          <w:rFonts w:ascii="Calibri" w:eastAsia="Calibri" w:hAnsi="Calibri" w:cs="Calibri"/>
          <w:szCs w:val="22"/>
        </w:rPr>
        <w:t>Huang Wei Ling.</w:t>
      </w:r>
      <w:r>
        <w:rPr>
          <w:rFonts w:ascii="Calibri" w:eastAsia="Calibri" w:hAnsi="Calibri" w:cs="Calibri"/>
          <w:szCs w:val="22"/>
        </w:rPr>
        <w:t xml:space="preserve"> </w:t>
      </w:r>
      <w:r w:rsidRPr="00F33A5F">
        <w:rPr>
          <w:rFonts w:ascii="Calibri" w:eastAsia="Calibri" w:hAnsi="Calibri" w:cs="Calibri"/>
          <w:szCs w:val="22"/>
        </w:rPr>
        <w:t xml:space="preserve">The Importance of Correcting Chakras Energy Centers Alterations to Prevent Pacemaker Indication. </w:t>
      </w:r>
      <w:proofErr w:type="spellStart"/>
      <w:r w:rsidRPr="00F33A5F">
        <w:rPr>
          <w:rFonts w:ascii="Calibri" w:eastAsia="Calibri" w:hAnsi="Calibri" w:cs="Calibri"/>
          <w:szCs w:val="22"/>
        </w:rPr>
        <w:t>Acta</w:t>
      </w:r>
      <w:proofErr w:type="spellEnd"/>
      <w:r w:rsidRPr="00F33A5F">
        <w:rPr>
          <w:rFonts w:ascii="Calibri" w:eastAsia="Calibri" w:hAnsi="Calibri" w:cs="Calibri"/>
          <w:szCs w:val="22"/>
        </w:rPr>
        <w:t xml:space="preserve"> Scientific Medical Sciences. 2020; 4(6):102-109. </w:t>
      </w:r>
    </w:p>
    <w:p w:rsidR="00F33A5F" w:rsidRDefault="00F33A5F" w:rsidP="00F33A5F">
      <w:pPr>
        <w:pStyle w:val="Corpodetexto"/>
        <w:numPr>
          <w:ilvl w:val="0"/>
          <w:numId w:val="4"/>
        </w:numPr>
        <w:spacing w:before="85" w:line="216" w:lineRule="exact"/>
        <w:ind w:right="138"/>
        <w:jc w:val="both"/>
        <w:rPr>
          <w:rFonts w:ascii="Calibri" w:eastAsia="Calibri" w:hAnsi="Calibri" w:cs="Calibri"/>
          <w:szCs w:val="22"/>
        </w:rPr>
      </w:pPr>
      <w:r>
        <w:rPr>
          <w:rFonts w:ascii="Calibri" w:eastAsia="Calibri" w:hAnsi="Calibri" w:cs="Calibri"/>
          <w:szCs w:val="22"/>
        </w:rPr>
        <w:t>Huang Wei Ling.</w:t>
      </w:r>
      <w:r>
        <w:rPr>
          <w:rFonts w:ascii="Calibri" w:eastAsia="Calibri" w:hAnsi="Calibri" w:cs="Calibri"/>
          <w:szCs w:val="22"/>
        </w:rPr>
        <w:t xml:space="preserve"> </w:t>
      </w:r>
      <w:r w:rsidRPr="00F33A5F">
        <w:rPr>
          <w:rFonts w:ascii="Calibri" w:eastAsia="Calibri" w:hAnsi="Calibri" w:cs="Calibri"/>
          <w:szCs w:val="22"/>
        </w:rPr>
        <w:t xml:space="preserve">Constitutional Homeopathy of Five Elements Based on Traditional Chinese Medicine. </w:t>
      </w:r>
      <w:proofErr w:type="spellStart"/>
      <w:r w:rsidRPr="00F33A5F">
        <w:rPr>
          <w:rFonts w:ascii="Calibri" w:eastAsia="Calibri" w:hAnsi="Calibri" w:cs="Calibri"/>
          <w:szCs w:val="22"/>
        </w:rPr>
        <w:t>Acta</w:t>
      </w:r>
      <w:proofErr w:type="spellEnd"/>
      <w:r w:rsidRPr="00F33A5F">
        <w:rPr>
          <w:rFonts w:ascii="Calibri" w:eastAsia="Calibri" w:hAnsi="Calibri" w:cs="Calibri"/>
          <w:szCs w:val="22"/>
        </w:rPr>
        <w:t xml:space="preserve"> Scientific Medical Sciences. 2020; 4(7):57-69. </w:t>
      </w:r>
    </w:p>
    <w:p w:rsidR="00F33A5F" w:rsidRDefault="00F33A5F" w:rsidP="00F33A5F">
      <w:pPr>
        <w:pStyle w:val="Corpodetexto"/>
        <w:numPr>
          <w:ilvl w:val="0"/>
          <w:numId w:val="4"/>
        </w:numPr>
        <w:spacing w:before="85" w:line="216" w:lineRule="exact"/>
        <w:ind w:right="138"/>
        <w:jc w:val="both"/>
        <w:rPr>
          <w:rFonts w:ascii="Calibri" w:eastAsia="Calibri" w:hAnsi="Calibri" w:cs="Calibri"/>
          <w:szCs w:val="22"/>
        </w:rPr>
      </w:pPr>
      <w:r>
        <w:rPr>
          <w:rFonts w:ascii="Calibri" w:eastAsia="Calibri" w:hAnsi="Calibri" w:cs="Calibri"/>
          <w:szCs w:val="22"/>
        </w:rPr>
        <w:t>Huang Wei Ling.</w:t>
      </w:r>
      <w:r>
        <w:rPr>
          <w:rFonts w:ascii="Calibri" w:eastAsia="Calibri" w:hAnsi="Calibri" w:cs="Calibri"/>
          <w:szCs w:val="22"/>
        </w:rPr>
        <w:t xml:space="preserve"> </w:t>
      </w:r>
      <w:r w:rsidRPr="00F33A5F">
        <w:rPr>
          <w:rFonts w:ascii="Calibri" w:eastAsia="Calibri" w:hAnsi="Calibri" w:cs="Calibri"/>
          <w:szCs w:val="22"/>
        </w:rPr>
        <w:t xml:space="preserve">Auricular Acupuncture and Chinese Dietary Counseling in The Treatment of Insomnia. Archives of Neurology and Neuro Disorders. 2020; 3(1):1-11. </w:t>
      </w:r>
    </w:p>
    <w:p w:rsidR="005973B9" w:rsidRPr="00F33A5F" w:rsidRDefault="00F33A5F" w:rsidP="00F33A5F">
      <w:pPr>
        <w:pStyle w:val="Corpodetexto"/>
        <w:numPr>
          <w:ilvl w:val="0"/>
          <w:numId w:val="4"/>
        </w:numPr>
        <w:spacing w:before="85" w:line="216" w:lineRule="exact"/>
        <w:ind w:right="138"/>
        <w:jc w:val="both"/>
        <w:rPr>
          <w:rFonts w:ascii="Calibri" w:eastAsia="Calibri" w:hAnsi="Calibri" w:cs="Calibri"/>
          <w:szCs w:val="22"/>
        </w:rPr>
      </w:pPr>
      <w:r>
        <w:rPr>
          <w:rFonts w:ascii="Calibri" w:eastAsia="Calibri" w:hAnsi="Calibri" w:cs="Calibri"/>
          <w:szCs w:val="22"/>
        </w:rPr>
        <w:t>Huang Wei Ling.</w:t>
      </w:r>
      <w:r>
        <w:rPr>
          <w:rFonts w:ascii="Calibri" w:eastAsia="Calibri" w:hAnsi="Calibri" w:cs="Calibri"/>
          <w:szCs w:val="22"/>
        </w:rPr>
        <w:t xml:space="preserve"> </w:t>
      </w:r>
      <w:r w:rsidRPr="00F33A5F">
        <w:rPr>
          <w:rFonts w:ascii="Calibri" w:eastAsia="Calibri" w:hAnsi="Calibri" w:cs="Calibri"/>
          <w:szCs w:val="22"/>
        </w:rPr>
        <w:t xml:space="preserve">Why Patients with Knee Pain Still Have Symptoms Despite the Use of Anti-inflammatory Medications. International Journal of </w:t>
      </w:r>
      <w:proofErr w:type="spellStart"/>
      <w:r w:rsidRPr="00F33A5F">
        <w:rPr>
          <w:rFonts w:ascii="Calibri" w:eastAsia="Calibri" w:hAnsi="Calibri" w:cs="Calibri"/>
          <w:szCs w:val="22"/>
        </w:rPr>
        <w:t>Orthopaedics</w:t>
      </w:r>
      <w:proofErr w:type="spellEnd"/>
      <w:r w:rsidRPr="00F33A5F">
        <w:rPr>
          <w:rFonts w:ascii="Calibri" w:eastAsia="Calibri" w:hAnsi="Calibri" w:cs="Calibri"/>
          <w:szCs w:val="22"/>
        </w:rPr>
        <w:t xml:space="preserve"> Research. 2020; 2(2):21-27.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ACC2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pt-BR" w:eastAsia="pt-BR"/>
        </w:rPr>
        <w:drawing>
          <wp:inline distT="0" distB="0" distL="0" distR="0" wp14:anchorId="1B650C0E" wp14:editId="0E8C3C7F">
            <wp:extent cx="630069" cy="543434"/>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543434"/>
                    </a:xfrm>
                    <a:prstGeom prst="rect">
                      <a:avLst/>
                    </a:prstGeom>
                    <a:noFill/>
                    <a:ln>
                      <a:noFill/>
                    </a:ln>
                  </pic:spPr>
                </pic:pic>
              </a:graphicData>
            </a:graphic>
          </wp:inline>
        </w:drawing>
      </w:r>
      <w:r w:rsidR="00F33A5F">
        <w:rPr>
          <w:noProof/>
        </w:rPr>
        <w:t xml:space="preserve">  </w:t>
      </w:r>
      <w:r w:rsidR="00A9710C">
        <w:rPr>
          <w:rFonts w:ascii="Arial"/>
          <w:color w:val="BF5A14"/>
        </w:rPr>
        <w:t>Biography</w:t>
      </w:r>
      <w:r w:rsidR="00404E5B">
        <w:rPr>
          <w:rFonts w:ascii="Arial"/>
          <w:color w:val="BF5A14"/>
        </w:rPr>
        <w:t xml:space="preserve"> </w:t>
      </w:r>
    </w:p>
    <w:p w:rsidR="00F33A5F" w:rsidRPr="00F33A5F" w:rsidRDefault="00F33A5F" w:rsidP="00F33A5F">
      <w:pPr>
        <w:spacing w:before="41" w:line="154" w:lineRule="exact"/>
        <w:ind w:left="213" w:right="231"/>
        <w:jc w:val="both"/>
        <w:rPr>
          <w:rFonts w:ascii="Arial"/>
          <w:sz w:val="14"/>
        </w:rPr>
      </w:pPr>
      <w:r w:rsidRPr="00F33A5F">
        <w:rPr>
          <w:rFonts w:ascii="Arial"/>
          <w:sz w:val="1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F33A5F">
        <w:rPr>
          <w:rFonts w:ascii="Arial"/>
          <w:sz w:val="14"/>
        </w:rPr>
        <w:t>’</w:t>
      </w:r>
      <w:r w:rsidRPr="00F33A5F">
        <w:rPr>
          <w:rFonts w:ascii="Arial"/>
          <w:sz w:val="14"/>
        </w:rPr>
        <w:t>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p>
    <w:p w:rsidR="00AE3E37" w:rsidRDefault="00F33A5F" w:rsidP="00F33A5F">
      <w:pPr>
        <w:spacing w:before="41" w:line="154" w:lineRule="exact"/>
        <w:ind w:left="213" w:right="231"/>
        <w:jc w:val="both"/>
        <w:rPr>
          <w:rFonts w:ascii="Arial"/>
          <w:sz w:val="14"/>
        </w:rPr>
      </w:pPr>
      <w:r w:rsidRPr="00F33A5F">
        <w:rPr>
          <w:rFonts w:ascii="Arial"/>
          <w:sz w:val="14"/>
        </w:rPr>
        <w:t>Researcher in the University of S</w:t>
      </w:r>
      <w:r w:rsidRPr="00F33A5F">
        <w:rPr>
          <w:rFonts w:ascii="Arial"/>
          <w:sz w:val="14"/>
        </w:rPr>
        <w:t>ã</w:t>
      </w:r>
      <w:r w:rsidRPr="00F33A5F">
        <w:rPr>
          <w:rFonts w:ascii="Arial"/>
          <w:sz w:val="14"/>
        </w:rPr>
        <w:t>o Paulo, in the Ophthalmology department from 2012 to 2013.</w:t>
      </w:r>
      <w:r>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0" w:history="1">
        <w:r w:rsidR="00F33A5F" w:rsidRPr="002E49EC">
          <w:rPr>
            <w:rStyle w:val="Hyperlink"/>
            <w:rFonts w:ascii="Arial"/>
            <w:sz w:val="14"/>
          </w:rPr>
          <w:t>weilingmg@gmail.com</w:t>
        </w:r>
      </w:hyperlink>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D2E9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513" w:rsidRDefault="00415513">
      <w:r>
        <w:separator/>
      </w:r>
    </w:p>
  </w:endnote>
  <w:endnote w:type="continuationSeparator" w:id="0">
    <w:p w:rsidR="00415513" w:rsidRDefault="00415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513" w:rsidRDefault="00415513">
      <w:r>
        <w:separator/>
      </w:r>
    </w:p>
  </w:footnote>
  <w:footnote w:type="continuationSeparator" w:id="0">
    <w:p w:rsidR="00415513" w:rsidRDefault="00415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8EC6C71"/>
    <w:multiLevelType w:val="hybridMultilevel"/>
    <w:tmpl w:val="D08AD08C"/>
    <w:lvl w:ilvl="0" w:tplc="82823216">
      <w:start w:val="1"/>
      <w:numFmt w:val="decimal"/>
      <w:lvlText w:val="%1."/>
      <w:lvlJc w:val="left"/>
      <w:pPr>
        <w:ind w:left="459" w:hanging="360"/>
      </w:pPr>
      <w:rPr>
        <w:rFonts w:hint="default"/>
      </w:rPr>
    </w:lvl>
    <w:lvl w:ilvl="1" w:tplc="04160019" w:tentative="1">
      <w:start w:val="1"/>
      <w:numFmt w:val="lowerLetter"/>
      <w:lvlText w:val="%2."/>
      <w:lvlJc w:val="left"/>
      <w:pPr>
        <w:ind w:left="1179" w:hanging="360"/>
      </w:pPr>
    </w:lvl>
    <w:lvl w:ilvl="2" w:tplc="0416001B" w:tentative="1">
      <w:start w:val="1"/>
      <w:numFmt w:val="lowerRoman"/>
      <w:lvlText w:val="%3."/>
      <w:lvlJc w:val="right"/>
      <w:pPr>
        <w:ind w:left="1899" w:hanging="180"/>
      </w:pPr>
    </w:lvl>
    <w:lvl w:ilvl="3" w:tplc="0416000F" w:tentative="1">
      <w:start w:val="1"/>
      <w:numFmt w:val="decimal"/>
      <w:lvlText w:val="%4."/>
      <w:lvlJc w:val="left"/>
      <w:pPr>
        <w:ind w:left="2619" w:hanging="360"/>
      </w:pPr>
    </w:lvl>
    <w:lvl w:ilvl="4" w:tplc="04160019" w:tentative="1">
      <w:start w:val="1"/>
      <w:numFmt w:val="lowerLetter"/>
      <w:lvlText w:val="%5."/>
      <w:lvlJc w:val="left"/>
      <w:pPr>
        <w:ind w:left="3339" w:hanging="360"/>
      </w:pPr>
    </w:lvl>
    <w:lvl w:ilvl="5" w:tplc="0416001B" w:tentative="1">
      <w:start w:val="1"/>
      <w:numFmt w:val="lowerRoman"/>
      <w:lvlText w:val="%6."/>
      <w:lvlJc w:val="right"/>
      <w:pPr>
        <w:ind w:left="4059" w:hanging="180"/>
      </w:pPr>
    </w:lvl>
    <w:lvl w:ilvl="6" w:tplc="0416000F" w:tentative="1">
      <w:start w:val="1"/>
      <w:numFmt w:val="decimal"/>
      <w:lvlText w:val="%7."/>
      <w:lvlJc w:val="left"/>
      <w:pPr>
        <w:ind w:left="4779" w:hanging="360"/>
      </w:pPr>
    </w:lvl>
    <w:lvl w:ilvl="7" w:tplc="04160019" w:tentative="1">
      <w:start w:val="1"/>
      <w:numFmt w:val="lowerLetter"/>
      <w:lvlText w:val="%8."/>
      <w:lvlJc w:val="left"/>
      <w:pPr>
        <w:ind w:left="5499" w:hanging="360"/>
      </w:pPr>
    </w:lvl>
    <w:lvl w:ilvl="8" w:tplc="0416001B" w:tentative="1">
      <w:start w:val="1"/>
      <w:numFmt w:val="lowerRoman"/>
      <w:lvlText w:val="%9."/>
      <w:lvlJc w:val="right"/>
      <w:pPr>
        <w:ind w:left="6219"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15513"/>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33A5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0C334"/>
  <w15:docId w15:val="{666A90E7-FD98-4557-9EE5-FF5B0B3C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597</Words>
  <Characters>3230</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2020-11-28T14:30:00Z</dcterms:created>
  <dcterms:modified xsi:type="dcterms:W3CDTF">2020-11-28T14:30:00Z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