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2D4" w:rsidRDefault="00A302D4" w:rsidP="00A302D4">
      <w:pPr>
        <w:bidi w:val="0"/>
        <w:spacing w:before="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Accurate and reliable fetal gender determination using </w:t>
      </w:r>
      <w:r w:rsidRPr="007E66A6">
        <w:rPr>
          <w:rFonts w:ascii="Times New Roman" w:hAnsi="Times New Roman" w:cs="Times New Roman"/>
          <w:b/>
          <w:bCs/>
        </w:rPr>
        <w:t>Primer Design Y-chromosome detection kit</w:t>
      </w:r>
    </w:p>
    <w:p w:rsidR="00A302D4" w:rsidRPr="00637986" w:rsidRDefault="00A302D4" w:rsidP="00A302D4">
      <w:pPr>
        <w:bidi w:val="0"/>
        <w:spacing w:before="60"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637986">
        <w:rPr>
          <w:rFonts w:ascii="Times New Roman" w:hAnsi="Times New Roman" w:cs="Times New Roman"/>
          <w:b/>
          <w:bCs/>
          <w:sz w:val="32"/>
          <w:szCs w:val="32"/>
        </w:rPr>
        <w:t>Abstract</w:t>
      </w:r>
    </w:p>
    <w:p w:rsidR="00A302D4" w:rsidRDefault="00A302D4" w:rsidP="00A302D4">
      <w:pPr>
        <w:autoSpaceDE w:val="0"/>
        <w:autoSpaceDN w:val="0"/>
        <w:bidi w:val="0"/>
        <w:adjustRightInd w:val="0"/>
        <w:spacing w:before="60" w:after="0" w:line="480" w:lineRule="auto"/>
        <w:jc w:val="lowKashida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Aim</w:t>
      </w:r>
      <w:r w:rsidRPr="004B0AB3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To validate a protocol for noninvasive fetal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sex determination in maternal plasma and demonstrate its applicability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to clinical practice.</w:t>
      </w:r>
    </w:p>
    <w:p w:rsidR="00A302D4" w:rsidRDefault="00A302D4" w:rsidP="00A302D4">
      <w:pPr>
        <w:autoSpaceDE w:val="0"/>
        <w:autoSpaceDN w:val="0"/>
        <w:bidi w:val="0"/>
        <w:adjustRightInd w:val="0"/>
        <w:spacing w:before="60" w:after="0" w:line="480" w:lineRule="auto"/>
        <w:jc w:val="lowKashida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Method</w:t>
      </w:r>
      <w:r w:rsidRPr="007A7C2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Peripheral blood from </w:t>
      </w:r>
      <w:r>
        <w:rPr>
          <w:rFonts w:ascii="Times New Roman" w:eastAsia="MinionPro-Regular" w:hAnsi="Times New Roman" w:cs="Times New Roman"/>
          <w:sz w:val="24"/>
          <w:szCs w:val="24"/>
        </w:rPr>
        <w:t>318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 pregnant women was collected from </w:t>
      </w:r>
      <w:r>
        <w:rPr>
          <w:rFonts w:ascii="Times New Roman" w:eastAsia="MinionPro-Regular" w:hAnsi="Times New Roman" w:cs="Times New Roman"/>
          <w:sz w:val="24"/>
          <w:szCs w:val="24"/>
        </w:rPr>
        <w:t>7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 to </w:t>
      </w:r>
      <w:r>
        <w:rPr>
          <w:rFonts w:ascii="Times New Roman" w:eastAsia="MinionPro-Regular" w:hAnsi="Times New Roman" w:cs="Times New Roman"/>
          <w:sz w:val="24"/>
          <w:szCs w:val="24"/>
        </w:rPr>
        <w:t>12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 weeks of gestation.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Real-time PCR was performed for </w:t>
      </w:r>
      <w:proofErr w:type="spellStart"/>
      <w:r w:rsidRPr="007A7C23">
        <w:rPr>
          <w:rFonts w:ascii="Times New Roman" w:eastAsia="MinionPro-Regular" w:hAnsi="Times New Roman" w:cs="Times New Roman"/>
          <w:sz w:val="24"/>
          <w:szCs w:val="24"/>
        </w:rPr>
        <w:t>multicopy</w:t>
      </w:r>
      <w:proofErr w:type="spellEnd"/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52072D">
        <w:rPr>
          <w:rFonts w:ascii="Times New Roman" w:eastAsia="MinionPro-Regular" w:hAnsi="Times New Roman" w:cs="Times New Roman"/>
          <w:i/>
          <w:iCs/>
          <w:sz w:val="24"/>
          <w:szCs w:val="24"/>
        </w:rPr>
        <w:t>DYS14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marker sequence located within the </w:t>
      </w:r>
      <w:r w:rsidRPr="007A7C23">
        <w:rPr>
          <w:rFonts w:ascii="Times New Roman" w:hAnsi="Times New Roman" w:cs="Times New Roman"/>
          <w:i/>
          <w:iCs/>
          <w:sz w:val="24"/>
          <w:szCs w:val="24"/>
        </w:rPr>
        <w:t xml:space="preserve">TSPY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gene by the </w:t>
      </w:r>
      <w:proofErr w:type="spellStart"/>
      <w:r>
        <w:rPr>
          <w:rFonts w:ascii="Times New Roman" w:eastAsia="MinionPro-Regular" w:hAnsi="Times New Roman" w:cs="Times New Roman"/>
          <w:sz w:val="24"/>
          <w:szCs w:val="24"/>
        </w:rPr>
        <w:t>TaqMan</w:t>
      </w:r>
      <w:proofErr w:type="spellEnd"/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probe assay. </w:t>
      </w:r>
      <w:r>
        <w:rPr>
          <w:rFonts w:ascii="Times New Roman" w:hAnsi="Times New Roman" w:cs="Times New Roman"/>
          <w:sz w:val="24"/>
          <w:szCs w:val="24"/>
        </w:rPr>
        <w:t>An</w:t>
      </w:r>
      <w:r w:rsidRPr="000365ED">
        <w:rPr>
          <w:rFonts w:ascii="Times New Roman" w:hAnsi="Times New Roman" w:cs="Times New Roman"/>
          <w:sz w:val="24"/>
          <w:szCs w:val="24"/>
        </w:rPr>
        <w:t xml:space="preserve"> exogenous spiked-in amplification/ detection system</w:t>
      </w:r>
      <w:r>
        <w:rPr>
          <w:rFonts w:ascii="Times New Roman" w:hAnsi="Times New Roman" w:cs="Times New Roman"/>
          <w:sz w:val="24"/>
          <w:szCs w:val="24"/>
        </w:rPr>
        <w:t xml:space="preserve"> was also used</w:t>
      </w:r>
      <w:r w:rsidRPr="000365ED">
        <w:rPr>
          <w:rFonts w:ascii="Times New Roman" w:hAnsi="Times New Roman" w:cs="Times New Roman"/>
          <w:sz w:val="24"/>
          <w:szCs w:val="24"/>
        </w:rPr>
        <w:t xml:space="preserve"> as a positive control for the extraction process.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A diagnostic algorithm was designed using a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combination of these </w:t>
      </w:r>
      <w:r>
        <w:rPr>
          <w:rFonts w:ascii="Times New Roman" w:eastAsia="MinionPro-Regular" w:hAnsi="Times New Roman" w:cs="Times New Roman"/>
          <w:sz w:val="24"/>
          <w:szCs w:val="24"/>
        </w:rPr>
        <w:t>two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 markers. Fetal gender determined by noninvasive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prenatal diagnosis (NIPD) was compared with ultrasound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results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.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0365ED">
        <w:rPr>
          <w:rFonts w:ascii="Times New Roman" w:hAnsi="Times New Roman" w:cs="Times New Roman"/>
          <w:sz w:val="24"/>
          <w:szCs w:val="24"/>
        </w:rPr>
        <w:t>The Fisher exact test (two-sided) was used to determine sensitivity and specificity with 95% confidence intervals (CIs).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</w:p>
    <w:p w:rsidR="00A302D4" w:rsidRDefault="00A302D4" w:rsidP="00A302D4">
      <w:pPr>
        <w:autoSpaceDE w:val="0"/>
        <w:autoSpaceDN w:val="0"/>
        <w:bidi w:val="0"/>
        <w:adjustRightInd w:val="0"/>
        <w:spacing w:before="60" w:after="0" w:line="480" w:lineRule="auto"/>
        <w:jc w:val="lowKashida"/>
        <w:rPr>
          <w:rFonts w:ascii="Times New Roman" w:eastAsia="MinionPro-Regular" w:hAnsi="Times New Roman" w:cs="Times New Roman"/>
          <w:sz w:val="24"/>
          <w:szCs w:val="24"/>
        </w:rPr>
      </w:pPr>
      <w:r w:rsidRPr="007A7C23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A single false-positive result was obtained in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all 318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pregnancies. </w:t>
      </w:r>
      <w:r>
        <w:rPr>
          <w:rFonts w:ascii="Times New Roman" w:eastAsia="MinionPro-Regular" w:hAnsi="Times New Roman" w:cs="Times New Roman"/>
          <w:sz w:val="24"/>
          <w:szCs w:val="24"/>
        </w:rPr>
        <w:t>The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 overall sensitivity and specificity </w:t>
      </w:r>
      <w:r>
        <w:rPr>
          <w:rFonts w:ascii="Times New Roman" w:eastAsia="MinionPro-Regular" w:hAnsi="Times New Roman" w:cs="Times New Roman"/>
          <w:sz w:val="24"/>
          <w:szCs w:val="24"/>
        </w:rPr>
        <w:t>were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 100% (95%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CI 9</w:t>
      </w:r>
      <w:r>
        <w:rPr>
          <w:rFonts w:ascii="Times New Roman" w:eastAsia="MinionPro-Regular" w:hAnsi="Times New Roman" w:cs="Times New Roman"/>
          <w:sz w:val="24"/>
          <w:szCs w:val="24"/>
        </w:rPr>
        <w:t>7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.</w:t>
      </w:r>
      <w:r>
        <w:rPr>
          <w:rFonts w:ascii="Times New Roman" w:eastAsia="MinionPro-Regular" w:hAnsi="Times New Roman" w:cs="Times New Roman"/>
          <w:sz w:val="24"/>
          <w:szCs w:val="24"/>
        </w:rPr>
        <w:t>7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–100%) and 99.</w:t>
      </w:r>
      <w:r>
        <w:rPr>
          <w:rFonts w:ascii="Times New Roman" w:eastAsia="MinionPro-Regular" w:hAnsi="Times New Roman" w:cs="Times New Roman"/>
          <w:sz w:val="24"/>
          <w:szCs w:val="24"/>
        </w:rPr>
        <w:t>3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% (95% CI 9</w:t>
      </w:r>
      <w:r>
        <w:rPr>
          <w:rFonts w:ascii="Times New Roman" w:eastAsia="MinionPro-Regular" w:hAnsi="Times New Roman" w:cs="Times New Roman"/>
          <w:sz w:val="24"/>
          <w:szCs w:val="24"/>
        </w:rPr>
        <w:t>6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.</w:t>
      </w:r>
      <w:r>
        <w:rPr>
          <w:rFonts w:ascii="Times New Roman" w:eastAsia="MinionPro-Regular" w:hAnsi="Times New Roman" w:cs="Times New Roman"/>
          <w:sz w:val="24"/>
          <w:szCs w:val="24"/>
        </w:rPr>
        <w:t>4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–</w:t>
      </w:r>
      <w:r>
        <w:rPr>
          <w:rFonts w:ascii="Times New Roman" w:eastAsia="MinionPro-Regular" w:hAnsi="Times New Roman" w:cs="Times New Roman"/>
          <w:sz w:val="24"/>
          <w:szCs w:val="24"/>
        </w:rPr>
        <w:t>99.9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%), respectively. Pregnancy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outcome was obtained in all cases, including </w:t>
      </w:r>
      <w:r>
        <w:rPr>
          <w:rFonts w:ascii="Times New Roman" w:eastAsia="MinionPro-Regular" w:hAnsi="Times New Roman" w:cs="Times New Roman"/>
          <w:sz w:val="24"/>
          <w:szCs w:val="24"/>
        </w:rPr>
        <w:t>154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 male-bearing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and </w:t>
      </w:r>
      <w:r>
        <w:rPr>
          <w:rFonts w:ascii="Times New Roman" w:eastAsia="MinionPro-Regular" w:hAnsi="Times New Roman" w:cs="Times New Roman"/>
          <w:sz w:val="24"/>
          <w:szCs w:val="24"/>
        </w:rPr>
        <w:t>164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 female-bearing pregnancies.</w:t>
      </w:r>
    </w:p>
    <w:p w:rsidR="00A302D4" w:rsidRDefault="00A302D4" w:rsidP="00A302D4">
      <w:pPr>
        <w:autoSpaceDE w:val="0"/>
        <w:autoSpaceDN w:val="0"/>
        <w:bidi w:val="0"/>
        <w:adjustRightInd w:val="0"/>
        <w:spacing w:before="60" w:after="0" w:line="480" w:lineRule="auto"/>
        <w:jc w:val="lowKashida"/>
        <w:rPr>
          <w:rFonts w:ascii="Times New Roman" w:eastAsia="MinionPro-Regular" w:hAnsi="Times New Roman" w:cs="Times New Roman"/>
          <w:sz w:val="24"/>
          <w:szCs w:val="24"/>
        </w:rPr>
      </w:pPr>
      <w:r w:rsidRPr="007A7C23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7A7C2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MinionPro-Regular" w:hAnsi="Times New Roman" w:cs="Times New Roman"/>
          <w:sz w:val="24"/>
          <w:szCs w:val="24"/>
        </w:rPr>
        <w:t>Primer Design Y-chromosome detection kit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 for fetal sex determination in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plasma of early weeks </w:t>
      </w:r>
      <w:proofErr w:type="spellStart"/>
      <w:r>
        <w:rPr>
          <w:rFonts w:ascii="Times New Roman" w:eastAsia="MinionPro-Regular" w:hAnsi="Times New Roman" w:cs="Times New Roman"/>
          <w:sz w:val="24"/>
          <w:szCs w:val="24"/>
        </w:rPr>
        <w:t>pregnants</w:t>
      </w:r>
      <w:proofErr w:type="spellEnd"/>
      <w:r>
        <w:rPr>
          <w:rFonts w:ascii="Times New Roman" w:eastAsia="MinionPro-Regular" w:hAnsi="Times New Roman" w:cs="Times New Roman"/>
          <w:sz w:val="24"/>
          <w:szCs w:val="24"/>
        </w:rPr>
        <w:t xml:space="preserve"> is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 highly accurate and clinically applicable if robust reporting criteria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are applied.</w:t>
      </w:r>
    </w:p>
    <w:p w:rsidR="00A302D4" w:rsidRPr="007A7C23" w:rsidRDefault="00A302D4" w:rsidP="00A302D4">
      <w:pPr>
        <w:autoSpaceDE w:val="0"/>
        <w:autoSpaceDN w:val="0"/>
        <w:bidi w:val="0"/>
        <w:adjustRightInd w:val="0"/>
        <w:spacing w:before="60" w:after="0" w:line="48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A302D4" w:rsidRDefault="00A302D4" w:rsidP="00A302D4">
      <w:pPr>
        <w:bidi w:val="0"/>
        <w:spacing w:before="6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7C23">
        <w:rPr>
          <w:rFonts w:ascii="Times New Roman" w:hAnsi="Times New Roman" w:cs="Times New Roman"/>
          <w:b/>
          <w:bCs/>
          <w:sz w:val="24"/>
          <w:szCs w:val="24"/>
        </w:rPr>
        <w:t xml:space="preserve">Key Words: 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 xml:space="preserve">fetal sex determination; </w:t>
      </w:r>
      <w:r w:rsidRPr="001F0DDB">
        <w:rPr>
          <w:rFonts w:ascii="Times New Roman" w:eastAsia="MinionPro-Regular" w:hAnsi="Times New Roman" w:cs="Times New Roman"/>
          <w:sz w:val="24"/>
          <w:szCs w:val="24"/>
        </w:rPr>
        <w:t>Y-chromosome detection kit</w:t>
      </w:r>
      <w:r w:rsidRPr="007A7C23">
        <w:rPr>
          <w:rFonts w:ascii="Times New Roman" w:eastAsia="MinionPro-Regular" w:hAnsi="Times New Roman" w:cs="Times New Roman"/>
          <w:sz w:val="24"/>
          <w:szCs w:val="24"/>
        </w:rPr>
        <w:t>;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Real-Time PCR</w:t>
      </w:r>
    </w:p>
    <w:p w:rsidR="006F0252" w:rsidRDefault="00A302D4" w:rsidP="00A302D4">
      <w:pPr>
        <w:bidi w:val="0"/>
      </w:pPr>
      <w:bookmarkStart w:id="0" w:name="_GoBack"/>
      <w:bookmarkEnd w:id="0"/>
    </w:p>
    <w:sectPr w:rsidR="006F0252" w:rsidSect="00A85D5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2D4"/>
    <w:rsid w:val="00086F36"/>
    <w:rsid w:val="00A302D4"/>
    <w:rsid w:val="00A8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8EE2FBDD-1274-4EB6-8F46-EB69AA79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2D4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2019-03-06T16:01:00Z</dcterms:created>
  <dcterms:modified xsi:type="dcterms:W3CDTF">2019-03-06T16:02:00Z</dcterms:modified>
</cp:coreProperties>
</file>