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5DC" w:rsidRPr="00B134FA" w:rsidRDefault="004E35DC" w:rsidP="004E35DC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b/>
          <w:bCs/>
        </w:rPr>
      </w:pPr>
      <w:r w:rsidRPr="00B134FA">
        <w:rPr>
          <w:rFonts w:asciiTheme="minorHAnsi" w:hAnsiTheme="minorHAnsi" w:cstheme="minorHAnsi"/>
          <w:b/>
          <w:bCs/>
        </w:rPr>
        <w:t>Treatment with metformin and combination of metformin plus pioglitazone on serum levels of IL-6 and IL-8 in polycystic ovary syndrome: A randomized, clinical trial</w:t>
      </w:r>
    </w:p>
    <w:p w:rsidR="00AD50A2" w:rsidRPr="00B134FA" w:rsidRDefault="00AD50A2" w:rsidP="004E0554">
      <w:pPr>
        <w:spacing w:line="360" w:lineRule="auto"/>
        <w:jc w:val="both"/>
        <w:rPr>
          <w:rFonts w:asciiTheme="minorHAnsi" w:hAnsiTheme="minorHAnsi" w:cstheme="minorHAnsi"/>
          <w:b/>
          <w:bCs/>
          <w:shd w:val="clear" w:color="auto" w:fill="FFFFFF"/>
          <w:vertAlign w:val="superscript"/>
        </w:rPr>
      </w:pPr>
      <w:proofErr w:type="spellStart"/>
      <w:r w:rsidRPr="00B134FA">
        <w:rPr>
          <w:rFonts w:asciiTheme="minorHAnsi" w:hAnsiTheme="minorHAnsi" w:cstheme="minorHAnsi"/>
        </w:rPr>
        <w:t>Durr</w:t>
      </w:r>
      <w:proofErr w:type="spellEnd"/>
      <w:r w:rsidRPr="00B134FA">
        <w:rPr>
          <w:rFonts w:asciiTheme="minorHAnsi" w:hAnsiTheme="minorHAnsi" w:cstheme="minorHAnsi"/>
        </w:rPr>
        <w:t>-e-</w:t>
      </w:r>
      <w:proofErr w:type="spellStart"/>
      <w:r w:rsidRPr="00B134FA">
        <w:rPr>
          <w:rFonts w:asciiTheme="minorHAnsi" w:hAnsiTheme="minorHAnsi" w:cstheme="minorHAnsi"/>
        </w:rPr>
        <w:t>Shehwar</w:t>
      </w:r>
      <w:proofErr w:type="spellEnd"/>
      <w:r w:rsidRPr="00B134FA">
        <w:rPr>
          <w:rFonts w:asciiTheme="minorHAnsi" w:hAnsiTheme="minorHAnsi" w:cstheme="minorHAnsi"/>
        </w:rPr>
        <w:t xml:space="preserve"> </w:t>
      </w:r>
      <w:r w:rsidRPr="00B134FA">
        <w:rPr>
          <w:rFonts w:asciiTheme="minorHAnsi" w:hAnsiTheme="minorHAnsi" w:cstheme="minorHAnsi"/>
          <w:b/>
        </w:rPr>
        <w:t>Ali</w:t>
      </w:r>
      <w:r w:rsidRPr="00B134FA">
        <w:rPr>
          <w:rFonts w:asciiTheme="minorHAnsi" w:hAnsiTheme="minorHAnsi" w:cstheme="minorHAnsi"/>
          <w:vertAlign w:val="superscript"/>
        </w:rPr>
        <w:t>1</w:t>
      </w:r>
      <w:r w:rsidRPr="00B134FA">
        <w:rPr>
          <w:rFonts w:asciiTheme="minorHAnsi" w:hAnsiTheme="minorHAnsi" w:cstheme="minorHAnsi"/>
        </w:rPr>
        <w:t xml:space="preserve">, Mohsin </w:t>
      </w:r>
      <w:r w:rsidRPr="00B134FA">
        <w:rPr>
          <w:rFonts w:asciiTheme="minorHAnsi" w:hAnsiTheme="minorHAnsi" w:cstheme="minorHAnsi"/>
          <w:b/>
        </w:rPr>
        <w:t>Shah</w:t>
      </w:r>
      <w:r w:rsidRPr="00B134FA">
        <w:rPr>
          <w:rFonts w:asciiTheme="minorHAnsi" w:hAnsiTheme="minorHAnsi" w:cstheme="minorHAnsi"/>
          <w:vertAlign w:val="superscript"/>
        </w:rPr>
        <w:t>1</w:t>
      </w:r>
      <w:r w:rsidRPr="00B134FA">
        <w:rPr>
          <w:rFonts w:asciiTheme="minorHAnsi" w:hAnsiTheme="minorHAnsi" w:cstheme="minorHAnsi"/>
        </w:rPr>
        <w:t xml:space="preserve">*, </w:t>
      </w:r>
      <w:proofErr w:type="spellStart"/>
      <w:r w:rsidRPr="00B134FA">
        <w:rPr>
          <w:rFonts w:asciiTheme="minorHAnsi" w:hAnsiTheme="minorHAnsi" w:cstheme="minorHAnsi"/>
        </w:rPr>
        <w:t>Asif</w:t>
      </w:r>
      <w:proofErr w:type="spellEnd"/>
      <w:r w:rsidRPr="00B134FA">
        <w:rPr>
          <w:rFonts w:asciiTheme="minorHAnsi" w:hAnsiTheme="minorHAnsi" w:cstheme="minorHAnsi"/>
        </w:rPr>
        <w:t xml:space="preserve"> </w:t>
      </w:r>
      <w:r w:rsidRPr="00B134FA">
        <w:rPr>
          <w:rFonts w:asciiTheme="minorHAnsi" w:hAnsiTheme="minorHAnsi" w:cstheme="minorHAnsi"/>
          <w:b/>
        </w:rPr>
        <w:t>Ali</w:t>
      </w:r>
      <w:r w:rsidR="004E0554" w:rsidRPr="00B134FA">
        <w:rPr>
          <w:rFonts w:asciiTheme="minorHAnsi" w:hAnsiTheme="minorHAnsi" w:cstheme="minorHAnsi"/>
          <w:iCs/>
          <w:vertAlign w:val="superscript"/>
        </w:rPr>
        <w:t>1</w:t>
      </w:r>
      <w:r w:rsidRPr="00B134FA">
        <w:rPr>
          <w:rFonts w:asciiTheme="minorHAnsi" w:hAnsiTheme="minorHAnsi" w:cstheme="minorHAnsi"/>
        </w:rPr>
        <w:t xml:space="preserve">, Muhammad Omar </w:t>
      </w:r>
      <w:r w:rsidRPr="00B134FA">
        <w:rPr>
          <w:rFonts w:asciiTheme="minorHAnsi" w:hAnsiTheme="minorHAnsi" w:cstheme="minorHAnsi"/>
          <w:b/>
        </w:rPr>
        <w:t>Malik</w:t>
      </w:r>
      <w:r w:rsidRPr="00B134FA">
        <w:rPr>
          <w:rFonts w:asciiTheme="minorHAnsi" w:hAnsiTheme="minorHAnsi" w:cstheme="minorHAnsi"/>
          <w:vertAlign w:val="superscript"/>
        </w:rPr>
        <w:t>1</w:t>
      </w:r>
      <w:r w:rsidRPr="00B134FA">
        <w:rPr>
          <w:rFonts w:asciiTheme="minorHAnsi" w:hAnsiTheme="minorHAnsi" w:cstheme="minorHAnsi"/>
        </w:rPr>
        <w:t xml:space="preserve">, </w:t>
      </w:r>
      <w:proofErr w:type="spellStart"/>
      <w:r w:rsidRPr="00B134FA">
        <w:rPr>
          <w:rFonts w:asciiTheme="minorHAnsi" w:hAnsiTheme="minorHAnsi" w:cstheme="minorHAnsi"/>
        </w:rPr>
        <w:t>Farhat</w:t>
      </w:r>
      <w:proofErr w:type="spellEnd"/>
      <w:r w:rsidRPr="00B134FA">
        <w:rPr>
          <w:rFonts w:asciiTheme="minorHAnsi" w:hAnsiTheme="minorHAnsi" w:cstheme="minorHAnsi"/>
        </w:rPr>
        <w:t xml:space="preserve"> </w:t>
      </w:r>
      <w:r w:rsidRPr="00B134FA">
        <w:rPr>
          <w:rFonts w:asciiTheme="minorHAnsi" w:hAnsiTheme="minorHAnsi" w:cstheme="minorHAnsi"/>
          <w:b/>
        </w:rPr>
        <w:t>Rehman</w:t>
      </w:r>
      <w:r w:rsidRPr="00B134FA">
        <w:rPr>
          <w:rFonts w:asciiTheme="minorHAnsi" w:hAnsiTheme="minorHAnsi" w:cstheme="minorHAnsi"/>
          <w:vertAlign w:val="superscript"/>
        </w:rPr>
        <w:t>1</w:t>
      </w:r>
      <w:r w:rsidRPr="00B134FA">
        <w:rPr>
          <w:rFonts w:asciiTheme="minorHAnsi" w:hAnsiTheme="minorHAnsi" w:cstheme="minorHAnsi"/>
        </w:rPr>
        <w:t>,</w:t>
      </w:r>
      <w:r w:rsidRPr="00B134FA">
        <w:rPr>
          <w:rFonts w:asciiTheme="minorHAnsi" w:hAnsiTheme="minorHAnsi" w:cstheme="minorHAnsi"/>
          <w:shd w:val="clear" w:color="auto" w:fill="FFFFFF"/>
        </w:rPr>
        <w:t xml:space="preserve"> </w:t>
      </w:r>
    </w:p>
    <w:p w:rsidR="00AD50A2" w:rsidRPr="00B134FA" w:rsidRDefault="00AD50A2" w:rsidP="004E0554">
      <w:pPr>
        <w:spacing w:line="360" w:lineRule="auto"/>
        <w:rPr>
          <w:rFonts w:asciiTheme="minorHAnsi" w:hAnsiTheme="minorHAnsi" w:cstheme="minorHAnsi"/>
        </w:rPr>
      </w:pPr>
      <w:r w:rsidRPr="00B134FA">
        <w:rPr>
          <w:rFonts w:asciiTheme="minorHAnsi" w:hAnsiTheme="minorHAnsi" w:cstheme="minorHAnsi"/>
          <w:vertAlign w:val="superscript"/>
        </w:rPr>
        <w:t>1</w:t>
      </w:r>
      <w:r w:rsidRPr="00B134FA">
        <w:rPr>
          <w:rFonts w:asciiTheme="minorHAnsi" w:hAnsiTheme="minorHAnsi" w:cstheme="minorHAnsi"/>
        </w:rPr>
        <w:t>Department of Physiology, Institute of Basic Medical Sciences, Khyber Medical University, Peshawar Pakistan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C748F" w:rsidP="00AC748F">
      <w:pPr>
        <w:pStyle w:val="Heading3"/>
        <w:spacing w:before="147"/>
        <w:ind w:left="0"/>
        <w:jc w:val="both"/>
      </w:pPr>
      <w:r>
        <w:rPr>
          <w:color w:val="BF5A14"/>
        </w:rPr>
        <w:lastRenderedPageBreak/>
        <w:t>Abstract</w:t>
      </w:r>
    </w:p>
    <w:p w:rsidR="00AC748F" w:rsidRDefault="00AC748F" w:rsidP="00AC748F">
      <w:pPr>
        <w:spacing w:line="360" w:lineRule="auto"/>
        <w:jc w:val="both"/>
        <w:rPr>
          <w:rFonts w:asciiTheme="minorHAnsi" w:eastAsia="Times New Roman" w:hAnsiTheme="minorHAnsi" w:cstheme="minorHAnsi"/>
          <w:sz w:val="18"/>
          <w:szCs w:val="18"/>
        </w:rPr>
      </w:pPr>
      <w:r w:rsidRPr="00352CC6">
        <w:rPr>
          <w:rFonts w:asciiTheme="minorHAnsi" w:hAnsiTheme="minorHAnsi" w:cstheme="minorHAnsi"/>
          <w:sz w:val="18"/>
          <w:szCs w:val="18"/>
        </w:rPr>
        <w:t>Statement of the Problem:</w:t>
      </w:r>
      <w:r w:rsidRPr="00352CC6">
        <w:rPr>
          <w:rFonts w:asciiTheme="minorHAnsi" w:hAnsiTheme="minorHAnsi" w:cstheme="minorHAnsi"/>
        </w:rPr>
        <w:t xml:space="preserve"> </w:t>
      </w:r>
      <w:r w:rsidRPr="00352CC6">
        <w:rPr>
          <w:rFonts w:asciiTheme="minorHAnsi" w:hAnsiTheme="minorHAnsi" w:cstheme="minorHAnsi"/>
          <w:bCs/>
          <w:sz w:val="18"/>
          <w:szCs w:val="18"/>
        </w:rPr>
        <w:t xml:space="preserve">Elevated serum levels of inflammatory mediators reflect low-grade chronic inflammation and have been attributed to be associated with insulin-resistant states. Therefore, </w:t>
      </w:r>
      <w:r w:rsidRPr="00352CC6">
        <w:rPr>
          <w:rFonts w:asciiTheme="minorHAnsi" w:hAnsiTheme="minorHAnsi" w:cstheme="minorHAnsi"/>
          <w:sz w:val="18"/>
          <w:szCs w:val="18"/>
        </w:rPr>
        <w:t>insulin-lowering agents have been recommended to improve both reproductive and metabolic aspects of PCOS.</w:t>
      </w:r>
      <w:r w:rsidRPr="00352CC6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Pr="00352CC6">
        <w:rPr>
          <w:rFonts w:asciiTheme="minorHAnsi" w:hAnsiTheme="minorHAnsi" w:cstheme="minorHAnsi"/>
          <w:bCs/>
          <w:sz w:val="18"/>
          <w:szCs w:val="18"/>
        </w:rPr>
        <w:t xml:space="preserve">This study aimed to compare metformin and combination of metformin plus pioglitazone on menstrual </w:t>
      </w:r>
      <w:proofErr w:type="spellStart"/>
      <w:r w:rsidRPr="00352CC6">
        <w:rPr>
          <w:rFonts w:asciiTheme="minorHAnsi" w:hAnsiTheme="minorHAnsi" w:cstheme="minorHAnsi"/>
          <w:bCs/>
          <w:sz w:val="18"/>
          <w:szCs w:val="18"/>
        </w:rPr>
        <w:t>cyclicity</w:t>
      </w:r>
      <w:proofErr w:type="spellEnd"/>
      <w:r w:rsidRPr="00352CC6">
        <w:rPr>
          <w:rFonts w:asciiTheme="minorHAnsi" w:hAnsiTheme="minorHAnsi" w:cstheme="minorHAnsi"/>
          <w:bCs/>
          <w:sz w:val="18"/>
          <w:szCs w:val="18"/>
        </w:rPr>
        <w:t xml:space="preserve">, hormonal parameters, insulin resistance and inflammatory biomarkers in women with PCOS. </w:t>
      </w:r>
      <w:r w:rsidRPr="00352CC6">
        <w:rPr>
          <w:rFonts w:asciiTheme="minorHAnsi" w:hAnsiTheme="minorHAnsi" w:cstheme="minorHAnsi"/>
          <w:sz w:val="18"/>
          <w:szCs w:val="18"/>
        </w:rPr>
        <w:t>Methodology &amp; Theoretical Orientation: One hundred and six women with PCOS participated in the study. All subjects were randomized in to two-arm interventions. Arm-1:  metformin 500 mg (BD) daily. Arm-2: Combined (metformin 500 mg BD and pioglitazone 15 mg BD) for 12 weeks. The primary outcome measure was serum level of IL-6 and IL-8 using ELISA assay. Secondary outcome was insulin resistance; assessed using HOMA-IR. Findings:</w:t>
      </w:r>
      <w:r w:rsidRPr="00352CC6">
        <w:rPr>
          <w:rFonts w:asciiTheme="minorHAnsi" w:hAnsiTheme="minorHAnsi" w:cstheme="minorHAnsi"/>
        </w:rPr>
        <w:t xml:space="preserve"> </w:t>
      </w:r>
      <w:r w:rsidRPr="00352CC6">
        <w:rPr>
          <w:rFonts w:asciiTheme="minorHAnsi" w:hAnsiTheme="minorHAnsi" w:cstheme="minorHAnsi"/>
          <w:bCs/>
          <w:sz w:val="18"/>
          <w:szCs w:val="18"/>
        </w:rPr>
        <w:t>At baseline</w:t>
      </w:r>
      <w:r w:rsidRPr="00352CC6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352CC6">
        <w:rPr>
          <w:rFonts w:asciiTheme="minorHAnsi" w:hAnsiTheme="minorHAnsi" w:cstheme="minorHAnsi"/>
          <w:sz w:val="18"/>
          <w:szCs w:val="18"/>
        </w:rPr>
        <w:t>women with PCOS had significantly elevated circulating concentrations of IL-6 and IL-8. Treatment decreased IL-</w:t>
      </w:r>
      <w:smartTag w:uri="urn:schemas-microsoft-com:office:smarttags" w:element="metricconverter">
        <w:smartTagPr>
          <w:attr w:name="ProductID" w:val="6 in"/>
        </w:smartTagPr>
        <w:r w:rsidRPr="00352CC6">
          <w:rPr>
            <w:rFonts w:asciiTheme="minorHAnsi" w:hAnsiTheme="minorHAnsi" w:cstheme="minorHAnsi"/>
            <w:sz w:val="18"/>
            <w:szCs w:val="18"/>
          </w:rPr>
          <w:t>6 in</w:t>
        </w:r>
      </w:smartTag>
      <w:r w:rsidRPr="00352CC6">
        <w:rPr>
          <w:rFonts w:asciiTheme="minorHAnsi" w:hAnsiTheme="minorHAnsi" w:cstheme="minorHAnsi"/>
          <w:sz w:val="18"/>
          <w:szCs w:val="18"/>
        </w:rPr>
        <w:t xml:space="preserve"> both groups, however only the combination group (p= 0.005) had a significant decrease. IL-8 had a significant decrease after treatment in both groups (p= &lt;0.001). HOMA-IR</w:t>
      </w:r>
      <w:r w:rsidRPr="00352CC6">
        <w:rPr>
          <w:rFonts w:asciiTheme="minorHAnsi" w:hAnsiTheme="minorHAnsi" w:cstheme="minorHAnsi"/>
          <w:bCs/>
          <w:sz w:val="18"/>
          <w:szCs w:val="18"/>
        </w:rPr>
        <w:t xml:space="preserve"> and insulin levels also decreased in both groups (both p= &lt;0.001). Testosterone, </w:t>
      </w:r>
      <w:smartTag w:uri="urn:schemas-microsoft-com:office:smarttags" w:element="stockticker">
        <w:r w:rsidRPr="00352CC6">
          <w:rPr>
            <w:rFonts w:asciiTheme="minorHAnsi" w:hAnsiTheme="minorHAnsi" w:cstheme="minorHAnsi"/>
            <w:bCs/>
            <w:sz w:val="18"/>
            <w:szCs w:val="18"/>
          </w:rPr>
          <w:t>FSH</w:t>
        </w:r>
      </w:smartTag>
      <w:r w:rsidRPr="00352CC6">
        <w:rPr>
          <w:rFonts w:asciiTheme="minorHAnsi" w:hAnsiTheme="minorHAnsi" w:cstheme="minorHAnsi"/>
          <w:bCs/>
          <w:sz w:val="18"/>
          <w:szCs w:val="18"/>
        </w:rPr>
        <w:t xml:space="preserve"> and prolactin significantly decreased in both groups. LH also decreased in both groups, however, the change was significant only in the combination group (p=0.013). Both treatment groups were associated with the reduction in menstrual irregularities, sizes of ovaries and number of follicles. Significance:</w:t>
      </w:r>
      <w:r w:rsidRPr="00352CC6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352CC6">
        <w:rPr>
          <w:rFonts w:asciiTheme="minorHAnsi" w:hAnsiTheme="minorHAnsi" w:cstheme="minorHAnsi"/>
          <w:sz w:val="18"/>
          <w:szCs w:val="18"/>
        </w:rPr>
        <w:t xml:space="preserve">Combination of metformin and pioglitazone therapy was more effective compared to metformin alone in reducing the levels of IL-6 and IL-8 as well as insulin resistance in PCOS. </w:t>
      </w:r>
      <w:r w:rsidRPr="00352CC6">
        <w:rPr>
          <w:rFonts w:asciiTheme="minorHAnsi" w:hAnsiTheme="minorHAnsi" w:cstheme="minorHAnsi"/>
          <w:color w:val="131413"/>
          <w:sz w:val="18"/>
          <w:szCs w:val="18"/>
        </w:rPr>
        <w:t>The addition of pioglitazone with metformin had an additional effect on decreasing inflammation and normalizing hormonal imbalance. Thus modifi</w:t>
      </w:r>
      <w:r w:rsidRPr="00352CC6">
        <w:rPr>
          <w:rFonts w:asciiTheme="minorHAnsi" w:eastAsia="Times New Roman" w:hAnsiTheme="minorHAnsi" w:cstheme="minorHAnsi"/>
          <w:sz w:val="18"/>
          <w:szCs w:val="18"/>
        </w:rPr>
        <w:t xml:space="preserve">ed treatment protocols of combination therapy could further improve the outcome. </w:t>
      </w:r>
    </w:p>
    <w:p w:rsidR="00AC748F" w:rsidRDefault="00AC748F" w:rsidP="00AC748F">
      <w:pPr>
        <w:spacing w:line="360" w:lineRule="auto"/>
        <w:jc w:val="both"/>
        <w:rPr>
          <w:rFonts w:asciiTheme="minorHAnsi" w:eastAsia="Times New Roman" w:hAnsiTheme="minorHAnsi" w:cstheme="minorHAnsi"/>
          <w:sz w:val="18"/>
          <w:szCs w:val="18"/>
        </w:rPr>
      </w:pPr>
    </w:p>
    <w:p w:rsidR="00AC748F" w:rsidRPr="00352CC6" w:rsidRDefault="00AC748F" w:rsidP="00AC748F">
      <w:pPr>
        <w:spacing w:line="360" w:lineRule="auto"/>
        <w:jc w:val="both"/>
        <w:rPr>
          <w:rFonts w:asciiTheme="minorHAnsi" w:eastAsia="Times New Roman" w:hAnsiTheme="minorHAnsi" w:cstheme="minorHAnsi"/>
          <w:sz w:val="18"/>
          <w:szCs w:val="18"/>
        </w:rPr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C748F" w:rsidRPr="00B134FA" w:rsidRDefault="00B134FA" w:rsidP="00B134FA">
      <w:pPr>
        <w:pStyle w:val="BodyText"/>
        <w:spacing w:before="2"/>
        <w:rPr>
          <w:rFonts w:ascii="Arial"/>
          <w:b/>
          <w:sz w:val="16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D688AE5" wp14:editId="6EA54709">
            <wp:extent cx="3269892" cy="3160166"/>
            <wp:effectExtent l="0" t="0" r="6985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1.ti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7" r="5128"/>
                    <a:stretch/>
                  </pic:blipFill>
                  <pic:spPr bwMode="auto">
                    <a:xfrm>
                      <a:off x="0" y="0"/>
                      <a:ext cx="3267823" cy="3158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34FA" w:rsidRDefault="00B134FA" w:rsidP="00B134FA">
      <w:pPr>
        <w:autoSpaceDE w:val="0"/>
        <w:autoSpaceDN w:val="0"/>
        <w:adjustRightInd w:val="0"/>
        <w:ind w:left="640" w:hanging="640"/>
        <w:rPr>
          <w:rFonts w:asciiTheme="minorHAnsi" w:hAnsiTheme="minorHAnsi" w:cstheme="minorHAnsi"/>
          <w:sz w:val="18"/>
          <w:szCs w:val="18"/>
        </w:rPr>
      </w:pPr>
      <w:proofErr w:type="gramStart"/>
      <w:r w:rsidRPr="00B134FA">
        <w:rPr>
          <w:rFonts w:asciiTheme="minorHAnsi" w:hAnsiTheme="minorHAnsi" w:cstheme="minorHAnsi"/>
          <w:sz w:val="18"/>
          <w:szCs w:val="18"/>
        </w:rPr>
        <w:t>Figure 1.</w:t>
      </w:r>
      <w:proofErr w:type="gramEnd"/>
      <w:r w:rsidRPr="00B134FA">
        <w:rPr>
          <w:rFonts w:asciiTheme="minorHAnsi" w:hAnsiTheme="minorHAnsi" w:cstheme="minorHAnsi"/>
          <w:sz w:val="18"/>
          <w:szCs w:val="18"/>
        </w:rPr>
        <w:t xml:space="preserve"> Shows the process of patients</w:t>
      </w:r>
      <w:r>
        <w:rPr>
          <w:rFonts w:asciiTheme="minorHAnsi" w:hAnsiTheme="minorHAnsi" w:cstheme="minorHAnsi"/>
          <w:sz w:val="18"/>
          <w:szCs w:val="18"/>
        </w:rPr>
        <w:t xml:space="preserve"> from recruitment to the end of</w:t>
      </w:r>
    </w:p>
    <w:p w:rsidR="00B134FA" w:rsidRDefault="00B134FA" w:rsidP="00B134FA">
      <w:pPr>
        <w:autoSpaceDE w:val="0"/>
        <w:autoSpaceDN w:val="0"/>
        <w:adjustRightInd w:val="0"/>
        <w:ind w:left="640" w:hanging="640"/>
        <w:rPr>
          <w:rFonts w:asciiTheme="minorHAnsi" w:hAnsiTheme="minorHAnsi" w:cstheme="minorHAnsi"/>
          <w:sz w:val="18"/>
          <w:szCs w:val="18"/>
        </w:rPr>
      </w:pPr>
      <w:proofErr w:type="gramStart"/>
      <w:r w:rsidRPr="00B134FA">
        <w:rPr>
          <w:rFonts w:asciiTheme="minorHAnsi" w:hAnsiTheme="minorHAnsi" w:cstheme="minorHAnsi"/>
          <w:sz w:val="18"/>
          <w:szCs w:val="18"/>
        </w:rPr>
        <w:t>the</w:t>
      </w:r>
      <w:proofErr w:type="gramEnd"/>
      <w:r w:rsidRPr="00B134FA">
        <w:rPr>
          <w:rFonts w:asciiTheme="minorHAnsi" w:hAnsiTheme="minorHAnsi" w:cstheme="minorHAnsi"/>
          <w:sz w:val="18"/>
          <w:szCs w:val="18"/>
        </w:rPr>
        <w:t xml:space="preserve"> 3 months of treatment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B134FA">
        <w:rPr>
          <w:rFonts w:asciiTheme="minorHAnsi" w:hAnsiTheme="minorHAnsi" w:cstheme="minorHAnsi"/>
          <w:sz w:val="18"/>
          <w:szCs w:val="18"/>
        </w:rPr>
        <w:t>with eit</w:t>
      </w:r>
      <w:r>
        <w:rPr>
          <w:rFonts w:asciiTheme="minorHAnsi" w:hAnsiTheme="minorHAnsi" w:cstheme="minorHAnsi"/>
          <w:sz w:val="18"/>
          <w:szCs w:val="18"/>
        </w:rPr>
        <w:t>her metformin or combination of</w:t>
      </w:r>
    </w:p>
    <w:p w:rsidR="00B134FA" w:rsidRPr="00B134FA" w:rsidRDefault="00B134FA" w:rsidP="00B134FA">
      <w:pPr>
        <w:autoSpaceDE w:val="0"/>
        <w:autoSpaceDN w:val="0"/>
        <w:adjustRightInd w:val="0"/>
        <w:ind w:left="640" w:hanging="640"/>
        <w:rPr>
          <w:rFonts w:asciiTheme="minorHAnsi" w:hAnsiTheme="minorHAnsi" w:cstheme="minorHAnsi"/>
          <w:sz w:val="18"/>
          <w:szCs w:val="18"/>
        </w:rPr>
      </w:pPr>
      <w:proofErr w:type="gramStart"/>
      <w:r w:rsidRPr="00B134FA">
        <w:rPr>
          <w:rFonts w:asciiTheme="minorHAnsi" w:hAnsiTheme="minorHAnsi" w:cstheme="minorHAnsi"/>
          <w:sz w:val="18"/>
          <w:szCs w:val="18"/>
        </w:rPr>
        <w:t>metformin</w:t>
      </w:r>
      <w:proofErr w:type="gramEnd"/>
      <w:r w:rsidRPr="00B134FA">
        <w:rPr>
          <w:rFonts w:asciiTheme="minorHAnsi" w:hAnsiTheme="minorHAnsi" w:cstheme="minorHAnsi"/>
          <w:sz w:val="18"/>
          <w:szCs w:val="18"/>
        </w:rPr>
        <w:t xml:space="preserve"> plus pioglitazone.</w:t>
      </w:r>
    </w:p>
    <w:p w:rsidR="00AC748F" w:rsidRDefault="00AC748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C748F" w:rsidRDefault="00AC748F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AC748F" w:rsidRPr="00AC748F" w:rsidRDefault="00AC748F" w:rsidP="00AC748F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noProof/>
          <w:sz w:val="18"/>
          <w:szCs w:val="18"/>
        </w:rPr>
      </w:pPr>
      <w:r w:rsidRPr="00AC748F">
        <w:rPr>
          <w:rFonts w:asciiTheme="minorHAnsi" w:hAnsiTheme="minorHAnsi" w:cstheme="minorHAnsi"/>
          <w:noProof/>
          <w:sz w:val="18"/>
          <w:szCs w:val="18"/>
        </w:rPr>
        <w:t>McCartney CR &amp; Marshall JC</w:t>
      </w:r>
      <w:r>
        <w:rPr>
          <w:rFonts w:asciiTheme="minorHAnsi" w:hAnsiTheme="minorHAnsi" w:cstheme="minorHAnsi"/>
          <w:noProof/>
          <w:sz w:val="18"/>
          <w:szCs w:val="18"/>
        </w:rPr>
        <w:t xml:space="preserve"> (</w:t>
      </w:r>
      <w:r w:rsidRPr="00AC748F">
        <w:rPr>
          <w:rFonts w:asciiTheme="minorHAnsi" w:hAnsiTheme="minorHAnsi" w:cstheme="minorHAnsi"/>
          <w:noProof/>
          <w:sz w:val="18"/>
          <w:szCs w:val="18"/>
        </w:rPr>
        <w:t>2016</w:t>
      </w:r>
      <w:r>
        <w:rPr>
          <w:rFonts w:asciiTheme="minorHAnsi" w:hAnsiTheme="minorHAnsi" w:cstheme="minorHAnsi"/>
          <w:noProof/>
          <w:sz w:val="18"/>
          <w:szCs w:val="18"/>
        </w:rPr>
        <w:t>)</w:t>
      </w:r>
      <w:r w:rsidRPr="00AC748F">
        <w:rPr>
          <w:rFonts w:asciiTheme="minorHAnsi" w:hAnsiTheme="minorHAnsi" w:cstheme="minorHAnsi"/>
          <w:noProof/>
          <w:sz w:val="18"/>
          <w:szCs w:val="18"/>
        </w:rPr>
        <w:t xml:space="preserve">. Polycystic Ovary Syndrome. </w:t>
      </w:r>
      <w:r w:rsidRPr="00AC748F">
        <w:rPr>
          <w:rFonts w:asciiTheme="minorHAnsi" w:hAnsiTheme="minorHAnsi" w:cstheme="minorHAnsi"/>
          <w:iCs/>
          <w:noProof/>
          <w:sz w:val="18"/>
          <w:szCs w:val="18"/>
        </w:rPr>
        <w:t>New England Journal of Medicine</w:t>
      </w:r>
      <w:r w:rsidRPr="00AC748F">
        <w:rPr>
          <w:rFonts w:asciiTheme="minorHAnsi" w:hAnsiTheme="minorHAnsi" w:cstheme="minorHAnsi"/>
          <w:noProof/>
          <w:sz w:val="18"/>
          <w:szCs w:val="18"/>
        </w:rPr>
        <w:t>.</w:t>
      </w:r>
      <w:r>
        <w:rPr>
          <w:rFonts w:asciiTheme="minorHAnsi" w:hAnsiTheme="minorHAnsi" w:cstheme="minorHAnsi"/>
          <w:noProof/>
          <w:sz w:val="18"/>
          <w:szCs w:val="18"/>
        </w:rPr>
        <w:t xml:space="preserve"> 374:54-64.</w:t>
      </w:r>
      <w:r w:rsidRPr="00AC748F">
        <w:rPr>
          <w:rFonts w:asciiTheme="minorHAnsi" w:hAnsiTheme="minorHAnsi" w:cstheme="minorHAnsi"/>
          <w:noProof/>
          <w:sz w:val="18"/>
          <w:szCs w:val="18"/>
        </w:rPr>
        <w:t xml:space="preserve"> </w:t>
      </w:r>
    </w:p>
    <w:p w:rsidR="00AC748F" w:rsidRPr="00AC748F" w:rsidRDefault="00AC748F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AC748F">
        <w:rPr>
          <w:noProof/>
          <w:sz w:val="18"/>
          <w:szCs w:val="18"/>
        </w:rPr>
        <w:t>Sangeeta S</w:t>
      </w:r>
      <w:r>
        <w:rPr>
          <w:noProof/>
          <w:sz w:val="18"/>
          <w:szCs w:val="18"/>
        </w:rPr>
        <w:t xml:space="preserve"> (</w:t>
      </w:r>
      <w:r w:rsidRPr="00AC748F">
        <w:rPr>
          <w:noProof/>
          <w:sz w:val="18"/>
          <w:szCs w:val="18"/>
        </w:rPr>
        <w:t>2012</w:t>
      </w:r>
      <w:r>
        <w:rPr>
          <w:noProof/>
          <w:sz w:val="18"/>
          <w:szCs w:val="18"/>
        </w:rPr>
        <w:t>)</w:t>
      </w:r>
      <w:r w:rsidRPr="00AC748F">
        <w:rPr>
          <w:noProof/>
          <w:sz w:val="18"/>
          <w:szCs w:val="18"/>
        </w:rPr>
        <w:t xml:space="preserve">. Metformin and pioglitazone in polycystic ovarian syndrome: A comparative study. </w:t>
      </w:r>
      <w:r w:rsidRPr="00AC748F">
        <w:rPr>
          <w:iCs/>
          <w:noProof/>
          <w:sz w:val="18"/>
          <w:szCs w:val="18"/>
        </w:rPr>
        <w:t>Journal of Obstetrics and Gynecology of India</w:t>
      </w:r>
      <w:r>
        <w:rPr>
          <w:iCs/>
          <w:noProof/>
          <w:sz w:val="18"/>
          <w:szCs w:val="18"/>
        </w:rPr>
        <w:t>.</w:t>
      </w:r>
      <w:r w:rsidRPr="00AC748F">
        <w:rPr>
          <w:noProof/>
          <w:sz w:val="18"/>
          <w:szCs w:val="18"/>
        </w:rPr>
        <w:t xml:space="preserve"> </w:t>
      </w:r>
      <w:r w:rsidRPr="00AC748F">
        <w:rPr>
          <w:bCs/>
          <w:noProof/>
          <w:sz w:val="18"/>
          <w:szCs w:val="18"/>
        </w:rPr>
        <w:t>62</w:t>
      </w:r>
      <w:r>
        <w:rPr>
          <w:noProof/>
          <w:sz w:val="18"/>
          <w:szCs w:val="18"/>
        </w:rPr>
        <w:t>:</w:t>
      </w:r>
      <w:r w:rsidRPr="00AC748F">
        <w:rPr>
          <w:noProof/>
          <w:sz w:val="18"/>
          <w:szCs w:val="18"/>
        </w:rPr>
        <w:t>551–556.</w:t>
      </w:r>
    </w:p>
    <w:p w:rsidR="008B3BA0" w:rsidRDefault="00AC748F" w:rsidP="008B3BA0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r w:rsidRPr="00AC748F">
        <w:rPr>
          <w:noProof/>
          <w:sz w:val="18"/>
          <w:szCs w:val="18"/>
        </w:rPr>
        <w:t>Duleba AJ &amp; Dokras A</w:t>
      </w:r>
      <w:r>
        <w:rPr>
          <w:noProof/>
          <w:sz w:val="18"/>
          <w:szCs w:val="18"/>
        </w:rPr>
        <w:t xml:space="preserve"> (</w:t>
      </w:r>
      <w:r w:rsidRPr="00AC748F">
        <w:rPr>
          <w:noProof/>
          <w:sz w:val="18"/>
          <w:szCs w:val="18"/>
        </w:rPr>
        <w:t>2012</w:t>
      </w:r>
      <w:r>
        <w:rPr>
          <w:noProof/>
          <w:sz w:val="18"/>
          <w:szCs w:val="18"/>
        </w:rPr>
        <w:t>)</w:t>
      </w:r>
      <w:r w:rsidRPr="00AC748F">
        <w:rPr>
          <w:noProof/>
          <w:sz w:val="18"/>
          <w:szCs w:val="18"/>
        </w:rPr>
        <w:t xml:space="preserve">. Is PCOS an inflammatory process? </w:t>
      </w:r>
      <w:r w:rsidRPr="00AC748F">
        <w:rPr>
          <w:iCs/>
          <w:noProof/>
          <w:sz w:val="18"/>
          <w:szCs w:val="18"/>
        </w:rPr>
        <w:t>Fertility and Sterility</w:t>
      </w:r>
      <w:r>
        <w:rPr>
          <w:i/>
          <w:iCs/>
          <w:noProof/>
          <w:sz w:val="18"/>
          <w:szCs w:val="18"/>
        </w:rPr>
        <w:t>.</w:t>
      </w:r>
      <w:r w:rsidRPr="00AC748F">
        <w:rPr>
          <w:noProof/>
          <w:sz w:val="18"/>
          <w:szCs w:val="18"/>
        </w:rPr>
        <w:t xml:space="preserve"> </w:t>
      </w:r>
      <w:r w:rsidRPr="00AC748F">
        <w:rPr>
          <w:bCs/>
          <w:noProof/>
          <w:sz w:val="18"/>
          <w:szCs w:val="18"/>
        </w:rPr>
        <w:t>97</w:t>
      </w:r>
      <w:r>
        <w:rPr>
          <w:noProof/>
          <w:sz w:val="18"/>
          <w:szCs w:val="18"/>
        </w:rPr>
        <w:t>:</w:t>
      </w:r>
      <w:r w:rsidRPr="00AC748F">
        <w:rPr>
          <w:noProof/>
          <w:sz w:val="18"/>
          <w:szCs w:val="18"/>
        </w:rPr>
        <w:t xml:space="preserve">7–12. </w:t>
      </w:r>
    </w:p>
    <w:p w:rsidR="008B3BA0" w:rsidRPr="008B3BA0" w:rsidRDefault="008B3BA0" w:rsidP="008B3BA0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r w:rsidRPr="008B3BA0">
        <w:rPr>
          <w:noProof/>
          <w:sz w:val="18"/>
          <w:szCs w:val="18"/>
        </w:rPr>
        <w:t>Zahra M, Shah M, Ali A, &amp; Rahim R</w:t>
      </w:r>
      <w:r>
        <w:rPr>
          <w:noProof/>
          <w:sz w:val="18"/>
          <w:szCs w:val="18"/>
        </w:rPr>
        <w:t xml:space="preserve"> (</w:t>
      </w:r>
      <w:r w:rsidRPr="008B3BA0">
        <w:rPr>
          <w:noProof/>
          <w:sz w:val="18"/>
          <w:szCs w:val="18"/>
        </w:rPr>
        <w:t>2016</w:t>
      </w:r>
      <w:r>
        <w:rPr>
          <w:noProof/>
          <w:sz w:val="18"/>
          <w:szCs w:val="18"/>
        </w:rPr>
        <w:t>)</w:t>
      </w:r>
      <w:r w:rsidRPr="008B3BA0">
        <w:rPr>
          <w:noProof/>
          <w:sz w:val="18"/>
          <w:szCs w:val="18"/>
        </w:rPr>
        <w:t xml:space="preserve">. Effects of Metformin on Endocrine and Metabolic Parameters in Patients with Polycystic Ovary Syndrome. </w:t>
      </w:r>
      <w:r w:rsidRPr="008B3BA0">
        <w:rPr>
          <w:iCs/>
          <w:noProof/>
          <w:sz w:val="18"/>
          <w:szCs w:val="18"/>
        </w:rPr>
        <w:t>Hormone and Metabolic Research</w:t>
      </w:r>
      <w:r w:rsidRPr="008B3BA0">
        <w:rPr>
          <w:noProof/>
          <w:sz w:val="18"/>
          <w:szCs w:val="18"/>
        </w:rPr>
        <w:t xml:space="preserve">  </w:t>
      </w:r>
      <w:r w:rsidRPr="008B3BA0">
        <w:rPr>
          <w:bCs/>
          <w:noProof/>
          <w:sz w:val="18"/>
          <w:szCs w:val="18"/>
        </w:rPr>
        <w:t>49</w:t>
      </w:r>
      <w:r>
        <w:rPr>
          <w:noProof/>
          <w:sz w:val="18"/>
          <w:szCs w:val="18"/>
        </w:rPr>
        <w:t>:</w:t>
      </w:r>
      <w:r w:rsidRPr="008B3BA0">
        <w:rPr>
          <w:noProof/>
          <w:sz w:val="18"/>
          <w:szCs w:val="18"/>
        </w:rPr>
        <w:t>103–108.</w:t>
      </w:r>
    </w:p>
    <w:p w:rsidR="00AE3E37" w:rsidRDefault="008B3BA0" w:rsidP="008B3BA0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r w:rsidRPr="008B3BA0">
        <w:rPr>
          <w:noProof/>
          <w:sz w:val="18"/>
          <w:szCs w:val="18"/>
        </w:rPr>
        <w:t>Long X, Li R, Yang Y, &amp; Qiao J</w:t>
      </w:r>
      <w:r>
        <w:rPr>
          <w:noProof/>
          <w:sz w:val="18"/>
          <w:szCs w:val="18"/>
        </w:rPr>
        <w:t xml:space="preserve"> (</w:t>
      </w:r>
      <w:r w:rsidRPr="008B3BA0">
        <w:rPr>
          <w:noProof/>
          <w:sz w:val="18"/>
          <w:szCs w:val="18"/>
        </w:rPr>
        <w:t>2017</w:t>
      </w:r>
      <w:r>
        <w:rPr>
          <w:noProof/>
          <w:sz w:val="18"/>
          <w:szCs w:val="18"/>
        </w:rPr>
        <w:t>)</w:t>
      </w:r>
      <w:r w:rsidRPr="008B3BA0">
        <w:rPr>
          <w:noProof/>
          <w:sz w:val="18"/>
          <w:szCs w:val="18"/>
        </w:rPr>
        <w:t xml:space="preserve">. Overexpression of IL-18 in the Proliferative Phase Endometrium of Patients with Polycystic Ovary Syndrome. </w:t>
      </w:r>
      <w:r w:rsidRPr="008B3BA0">
        <w:rPr>
          <w:i/>
          <w:iCs/>
          <w:noProof/>
          <w:sz w:val="18"/>
          <w:szCs w:val="18"/>
        </w:rPr>
        <w:t xml:space="preserve">Reproductive </w:t>
      </w:r>
      <w:proofErr w:type="gramStart"/>
      <w:r w:rsidRPr="008B3BA0">
        <w:rPr>
          <w:i/>
          <w:iCs/>
          <w:noProof/>
          <w:sz w:val="18"/>
          <w:szCs w:val="18"/>
        </w:rPr>
        <w:t>Sciences</w:t>
      </w:r>
      <w:r w:rsidRPr="008B3BA0">
        <w:rPr>
          <w:noProof/>
          <w:sz w:val="18"/>
          <w:szCs w:val="18"/>
        </w:rPr>
        <w:t xml:space="preserve">  </w:t>
      </w:r>
      <w:r w:rsidR="004E35DC">
        <w:rPr>
          <w:sz w:val="18"/>
          <w:szCs w:val="18"/>
        </w:rPr>
        <w:t>24</w:t>
      </w:r>
      <w:proofErr w:type="gramEnd"/>
      <w:r w:rsidR="004E35DC">
        <w:rPr>
          <w:sz w:val="18"/>
          <w:szCs w:val="18"/>
        </w:rPr>
        <w:t>(2):252-257</w:t>
      </w:r>
      <w:r w:rsidRPr="004E35DC">
        <w:rPr>
          <w:noProof/>
          <w:sz w:val="18"/>
          <w:szCs w:val="18"/>
        </w:rPr>
        <w:t>.</w:t>
      </w:r>
    </w:p>
    <w:p w:rsidR="00AD50A2" w:rsidRPr="00AD50A2" w:rsidRDefault="00AD50A2" w:rsidP="008B3BA0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r w:rsidRPr="00AD50A2">
        <w:rPr>
          <w:noProof/>
          <w:sz w:val="18"/>
          <w:szCs w:val="18"/>
        </w:rPr>
        <w:t>Wu Y, Li P, Zhang D, &amp; Sun Y</w:t>
      </w:r>
      <w:r>
        <w:rPr>
          <w:noProof/>
          <w:sz w:val="18"/>
          <w:szCs w:val="18"/>
        </w:rPr>
        <w:t xml:space="preserve"> (</w:t>
      </w:r>
      <w:r w:rsidRPr="00AD50A2">
        <w:rPr>
          <w:noProof/>
          <w:sz w:val="18"/>
          <w:szCs w:val="18"/>
        </w:rPr>
        <w:t>2018</w:t>
      </w:r>
      <w:r>
        <w:rPr>
          <w:noProof/>
          <w:sz w:val="18"/>
          <w:szCs w:val="18"/>
        </w:rPr>
        <w:t>)</w:t>
      </w:r>
      <w:r w:rsidRPr="00AD50A2">
        <w:rPr>
          <w:noProof/>
          <w:sz w:val="18"/>
          <w:szCs w:val="18"/>
        </w:rPr>
        <w:t xml:space="preserve">. Metformin and pioglitazone combination therapy ameliorate polycystic ovary syndrome through AMPK/PI3K/JNK pathway. </w:t>
      </w:r>
      <w:r w:rsidRPr="00AD50A2">
        <w:rPr>
          <w:iCs/>
          <w:noProof/>
          <w:sz w:val="18"/>
          <w:szCs w:val="18"/>
        </w:rPr>
        <w:t>Experimental and Therapeutic Medicine</w:t>
      </w:r>
      <w:r>
        <w:rPr>
          <w:iCs/>
          <w:noProof/>
          <w:sz w:val="18"/>
          <w:szCs w:val="18"/>
        </w:rPr>
        <w:t xml:space="preserve"> </w:t>
      </w:r>
      <w:r w:rsidRPr="00AD50A2">
        <w:rPr>
          <w:bCs/>
          <w:noProof/>
          <w:sz w:val="18"/>
          <w:szCs w:val="18"/>
        </w:rPr>
        <w:t>15</w:t>
      </w:r>
      <w:r w:rsidRPr="00AD50A2">
        <w:rPr>
          <w:noProof/>
          <w:sz w:val="18"/>
          <w:szCs w:val="18"/>
        </w:rPr>
        <w:t>:2120–2127.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 w:rsidR="00B134FA">
        <w:rPr>
          <w:noProof/>
        </w:rPr>
        <w:drawing>
          <wp:inline distT="0" distB="0" distL="0" distR="0">
            <wp:extent cx="943660" cy="958291"/>
            <wp:effectExtent l="0" t="0" r="8890" b="0"/>
            <wp:docPr id="3" name="Picture 3" descr="E:\Mohsin scanned doc\MY SMALL 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Mohsin scanned doc\MY SMALL FOT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61" t="14815" r="11613" b="4321"/>
                    <a:stretch/>
                  </pic:blipFill>
                  <pic:spPr bwMode="auto">
                    <a:xfrm>
                      <a:off x="0" y="0"/>
                      <a:ext cx="944062" cy="958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1D7F87" w:rsidRPr="001D7F87" w:rsidRDefault="00B134FA" w:rsidP="001D7F87">
      <w:pPr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1D7F87">
        <w:rPr>
          <w:rFonts w:asciiTheme="minorHAnsi" w:hAnsiTheme="minorHAnsi" w:cstheme="minorHAnsi"/>
          <w:sz w:val="18"/>
          <w:szCs w:val="18"/>
        </w:rPr>
        <w:t>Mohsin Shah</w:t>
      </w:r>
      <w:r w:rsidR="00A9710C" w:rsidRPr="001D7F87">
        <w:rPr>
          <w:rFonts w:asciiTheme="minorHAnsi" w:hAnsiTheme="minorHAnsi" w:cstheme="minorHAnsi"/>
          <w:sz w:val="18"/>
          <w:szCs w:val="18"/>
        </w:rPr>
        <w:t xml:space="preserve"> has expertise in </w:t>
      </w:r>
      <w:r w:rsidR="00764AF3" w:rsidRPr="001D7F87">
        <w:rPr>
          <w:rFonts w:asciiTheme="minorHAnsi" w:hAnsiTheme="minorHAnsi" w:cstheme="minorHAnsi"/>
          <w:sz w:val="18"/>
          <w:szCs w:val="18"/>
        </w:rPr>
        <w:t>endocrinology and reproductive physiology</w:t>
      </w:r>
      <w:r w:rsidR="00A9710C" w:rsidRPr="001D7F87">
        <w:rPr>
          <w:rFonts w:asciiTheme="minorHAnsi" w:hAnsiTheme="minorHAnsi" w:cstheme="minorHAnsi"/>
          <w:sz w:val="18"/>
          <w:szCs w:val="18"/>
        </w:rPr>
        <w:t xml:space="preserve">. </w:t>
      </w:r>
      <w:r w:rsidR="00764AF3" w:rsidRPr="001D7F87">
        <w:rPr>
          <w:rFonts w:asciiTheme="minorHAnsi" w:hAnsiTheme="minorHAnsi" w:cstheme="minorHAnsi"/>
          <w:sz w:val="18"/>
          <w:szCs w:val="18"/>
        </w:rPr>
        <w:t xml:space="preserve">Currently Dr. Mohsin is working as assistant professor in the department of Physiology, Institute of Basic Medical Sciences, Khyber Medical University, </w:t>
      </w:r>
      <w:proofErr w:type="gramStart"/>
      <w:r w:rsidR="00764AF3" w:rsidRPr="001D7F87">
        <w:rPr>
          <w:rFonts w:asciiTheme="minorHAnsi" w:hAnsiTheme="minorHAnsi" w:cstheme="minorHAnsi"/>
          <w:sz w:val="18"/>
          <w:szCs w:val="18"/>
        </w:rPr>
        <w:t>Peshawar</w:t>
      </w:r>
      <w:proofErr w:type="gramEnd"/>
      <w:r w:rsidR="00764AF3" w:rsidRPr="001D7F87">
        <w:rPr>
          <w:rFonts w:asciiTheme="minorHAnsi" w:hAnsiTheme="minorHAnsi" w:cstheme="minorHAnsi"/>
          <w:sz w:val="18"/>
          <w:szCs w:val="18"/>
        </w:rPr>
        <w:t xml:space="preserve">. The main area of his research interest is </w:t>
      </w:r>
      <w:proofErr w:type="spellStart"/>
      <w:r w:rsidR="00764AF3" w:rsidRPr="001D7F87">
        <w:rPr>
          <w:rFonts w:asciiTheme="minorHAnsi" w:hAnsiTheme="minorHAnsi" w:cstheme="minorHAnsi"/>
          <w:sz w:val="18"/>
          <w:szCs w:val="18"/>
        </w:rPr>
        <w:t>nanomedicine</w:t>
      </w:r>
      <w:proofErr w:type="spellEnd"/>
      <w:r w:rsidR="00764AF3" w:rsidRPr="001D7F87">
        <w:rPr>
          <w:rFonts w:asciiTheme="minorHAnsi" w:hAnsiTheme="minorHAnsi" w:cstheme="minorHAnsi"/>
          <w:sz w:val="18"/>
          <w:szCs w:val="18"/>
        </w:rPr>
        <w:t xml:space="preserve"> in conjunction with endocrinology and reproductive physiology.</w:t>
      </w:r>
      <w:r w:rsidR="001D7F87" w:rsidRPr="001D7F87">
        <w:rPr>
          <w:rFonts w:asciiTheme="minorHAnsi" w:hAnsiTheme="minorHAnsi" w:cstheme="minorHAnsi"/>
          <w:sz w:val="18"/>
          <w:szCs w:val="18"/>
        </w:rPr>
        <w:t xml:space="preserve"> The present clinical </w:t>
      </w:r>
      <w:proofErr w:type="spellStart"/>
      <w:r w:rsidR="001D7F87" w:rsidRPr="001D7F87">
        <w:rPr>
          <w:rFonts w:asciiTheme="minorHAnsi" w:hAnsiTheme="minorHAnsi" w:cstheme="minorHAnsi"/>
          <w:sz w:val="18"/>
          <w:szCs w:val="18"/>
        </w:rPr>
        <w:t>trail</w:t>
      </w:r>
      <w:proofErr w:type="spellEnd"/>
      <w:r w:rsidR="001D7F87" w:rsidRPr="001D7F87">
        <w:rPr>
          <w:rFonts w:asciiTheme="minorHAnsi" w:hAnsiTheme="minorHAnsi" w:cstheme="minorHAnsi"/>
          <w:sz w:val="18"/>
          <w:szCs w:val="18"/>
        </w:rPr>
        <w:t xml:space="preserve"> finds that women with PCOS have significantly increased circulating inflammatory concentrations of IL-6 and IL-8 before treatment </w:t>
      </w:r>
      <w:r w:rsidR="001D7F87" w:rsidRPr="001D7F87">
        <w:rPr>
          <w:rFonts w:asciiTheme="minorHAnsi" w:hAnsiTheme="minorHAnsi" w:cstheme="minorHAnsi"/>
          <w:color w:val="131413"/>
          <w:sz w:val="18"/>
          <w:szCs w:val="18"/>
        </w:rPr>
        <w:t>and their levels were influenced by treatment with metformin and pioglitazone combination as demonstrated by decreased IL-6 and IL-8 levels after three months of therapy. The addition of pioglitazone with metformin had an additional effect on decreasing inflammation and normalizing hormonal imbalance. Thus modifi</w:t>
      </w:r>
      <w:r w:rsidR="001D7F87" w:rsidRPr="001D7F87">
        <w:rPr>
          <w:rFonts w:asciiTheme="minorHAnsi" w:eastAsia="Times New Roman" w:hAnsiTheme="minorHAnsi" w:cstheme="minorHAnsi"/>
          <w:sz w:val="18"/>
          <w:szCs w:val="18"/>
        </w:rPr>
        <w:t xml:space="preserve">ed treatment protocols of combination therapy could further improve the outcome. </w:t>
      </w:r>
      <w:r w:rsidR="001D7F87" w:rsidRPr="001D7F87">
        <w:rPr>
          <w:rFonts w:asciiTheme="minorHAnsi" w:eastAsia="Times New Roman" w:hAnsiTheme="minorHAnsi" w:cstheme="minorHAnsi"/>
          <w:sz w:val="18"/>
          <w:szCs w:val="18"/>
        </w:rPr>
        <w:t xml:space="preserve">The trial has been </w:t>
      </w:r>
      <w:proofErr w:type="spellStart"/>
      <w:r w:rsidR="001D7F87" w:rsidRPr="001D7F87">
        <w:rPr>
          <w:rFonts w:asciiTheme="minorHAnsi" w:eastAsia="Times New Roman" w:hAnsiTheme="minorHAnsi" w:cstheme="minorHAnsi"/>
          <w:sz w:val="18"/>
          <w:szCs w:val="18"/>
        </w:rPr>
        <w:t>registerd</w:t>
      </w:r>
      <w:proofErr w:type="spellEnd"/>
      <w:r w:rsidR="001D7F87" w:rsidRPr="001D7F87">
        <w:rPr>
          <w:rFonts w:asciiTheme="minorHAnsi" w:eastAsia="Times New Roman" w:hAnsiTheme="minorHAnsi" w:cstheme="minorHAnsi"/>
          <w:sz w:val="18"/>
          <w:szCs w:val="18"/>
        </w:rPr>
        <w:t xml:space="preserve"> with </w:t>
      </w:r>
      <w:r w:rsidR="001D7F87" w:rsidRPr="001D7F87">
        <w:rPr>
          <w:rFonts w:asciiTheme="minorHAnsi" w:hAnsiTheme="minorHAnsi" w:cstheme="minorHAnsi"/>
          <w:sz w:val="18"/>
          <w:szCs w:val="18"/>
        </w:rPr>
        <w:t xml:space="preserve">ClinicalTrials.gov number, NCT03117517. </w:t>
      </w:r>
      <w:proofErr w:type="gramStart"/>
      <w:r w:rsidR="001D7F87" w:rsidRPr="001D7F87">
        <w:rPr>
          <w:rFonts w:asciiTheme="minorHAnsi" w:hAnsiTheme="minorHAnsi" w:cstheme="minorHAnsi"/>
          <w:sz w:val="18"/>
          <w:szCs w:val="18"/>
        </w:rPr>
        <w:t>Clinical Trial Unit, Sciences, Khyber Medical University.</w:t>
      </w:r>
      <w:proofErr w:type="gramEnd"/>
    </w:p>
    <w:p w:rsidR="00AE3E37" w:rsidRDefault="00A9710C" w:rsidP="001D7F87">
      <w:pPr>
        <w:spacing w:before="41" w:line="154" w:lineRule="exact"/>
        <w:ind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8B3BA0" w:rsidRPr="00782C25">
          <w:rPr>
            <w:rStyle w:val="Hyperlink"/>
            <w:rFonts w:ascii="Arial"/>
            <w:sz w:val="14"/>
          </w:rPr>
          <w:t>mohsin.ibms@kmu.edu.pk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764AF3" w:rsidRDefault="00764AF3">
      <w:pPr>
        <w:spacing w:before="39"/>
        <w:ind w:left="100"/>
        <w:rPr>
          <w:rFonts w:ascii="Minion Pro"/>
          <w:b/>
          <w:sz w:val="20"/>
        </w:rPr>
        <w:sectPr w:rsidR="00764AF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64AF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764AF3" w:rsidRDefault="00764AF3">
      <w:pPr>
        <w:pStyle w:val="BodyText"/>
        <w:spacing w:before="3"/>
        <w:rPr>
          <w:rStyle w:val="fontstyle01"/>
        </w:rPr>
      </w:pPr>
    </w:p>
    <w:p w:rsidR="00AE3E37" w:rsidRPr="00764AF3" w:rsidRDefault="00764AF3" w:rsidP="00AE239E">
      <w:pPr>
        <w:pStyle w:val="BodyText"/>
        <w:spacing w:before="3" w:line="360" w:lineRule="auto"/>
        <w:rPr>
          <w:rFonts w:asciiTheme="minorHAnsi" w:hAnsiTheme="minorHAnsi" w:cstheme="minorHAnsi"/>
        </w:rPr>
      </w:pPr>
      <w:r w:rsidRPr="00764AF3">
        <w:rPr>
          <w:rFonts w:asciiTheme="minorHAnsi" w:hAnsiTheme="minorHAnsi" w:cstheme="minorHAnsi"/>
          <w:color w:val="000000"/>
        </w:rPr>
        <w:t>The main reason why I am interested</w:t>
      </w:r>
      <w:bookmarkStart w:id="0" w:name="_GoBack"/>
      <w:bookmarkEnd w:id="0"/>
      <w:r w:rsidRPr="00764AF3">
        <w:rPr>
          <w:rFonts w:asciiTheme="minorHAnsi" w:hAnsiTheme="minorHAnsi" w:cstheme="minorHAnsi"/>
          <w:color w:val="000000"/>
        </w:rPr>
        <w:t xml:space="preserve"> in this conference is the </w:t>
      </w:r>
      <w:r w:rsidR="001C1FC3">
        <w:rPr>
          <w:rFonts w:asciiTheme="minorHAnsi" w:hAnsiTheme="minorHAnsi" w:cstheme="minorHAnsi"/>
          <w:color w:val="000000"/>
        </w:rPr>
        <w:t>relevant topics</w:t>
      </w:r>
      <w:r w:rsidRPr="00764AF3">
        <w:rPr>
          <w:rFonts w:asciiTheme="minorHAnsi" w:hAnsiTheme="minorHAnsi" w:cstheme="minorHAnsi"/>
          <w:color w:val="000000"/>
        </w:rPr>
        <w:t xml:space="preserve"> where I feel confident to integrate </w:t>
      </w:r>
      <w:r w:rsidR="001C1FC3">
        <w:rPr>
          <w:rFonts w:asciiTheme="minorHAnsi" w:hAnsiTheme="minorHAnsi" w:cstheme="minorHAnsi"/>
          <w:color w:val="000000"/>
        </w:rPr>
        <w:t>my expertise</w:t>
      </w:r>
      <w:r w:rsidRPr="00764AF3">
        <w:rPr>
          <w:rFonts w:asciiTheme="minorHAnsi" w:hAnsiTheme="minorHAnsi" w:cstheme="minorHAnsi"/>
          <w:color w:val="000000"/>
        </w:rPr>
        <w:t xml:space="preserve"> with </w:t>
      </w:r>
      <w:r w:rsidR="001C1FC3">
        <w:rPr>
          <w:rFonts w:asciiTheme="minorHAnsi" w:hAnsiTheme="minorHAnsi" w:cstheme="minorHAnsi"/>
          <w:color w:val="000000"/>
        </w:rPr>
        <w:t>world leading clinician and researchers</w:t>
      </w:r>
      <w:r w:rsidRPr="00764AF3">
        <w:rPr>
          <w:rFonts w:asciiTheme="minorHAnsi" w:hAnsiTheme="minorHAnsi" w:cstheme="minorHAnsi"/>
          <w:color w:val="000000"/>
        </w:rPr>
        <w:t xml:space="preserve">. And, I think this is one of the most appropriate </w:t>
      </w:r>
      <w:proofErr w:type="gramStart"/>
      <w:r w:rsidRPr="00764AF3">
        <w:rPr>
          <w:rFonts w:asciiTheme="minorHAnsi" w:hAnsiTheme="minorHAnsi" w:cstheme="minorHAnsi"/>
          <w:color w:val="000000"/>
        </w:rPr>
        <w:t>platform</w:t>
      </w:r>
      <w:proofErr w:type="gramEnd"/>
      <w:r w:rsidRPr="00764AF3">
        <w:rPr>
          <w:rFonts w:asciiTheme="minorHAnsi" w:hAnsiTheme="minorHAnsi" w:cstheme="minorHAnsi"/>
          <w:color w:val="000000"/>
        </w:rPr>
        <w:t xml:space="preserve"> where I can exchange</w:t>
      </w:r>
      <w:r w:rsidR="001D7F87">
        <w:rPr>
          <w:rFonts w:asciiTheme="minorHAnsi" w:hAnsiTheme="minorHAnsi" w:cstheme="minorHAnsi"/>
          <w:color w:val="000000"/>
        </w:rPr>
        <w:t xml:space="preserve"> my idea</w:t>
      </w:r>
      <w:r w:rsidRPr="00764AF3">
        <w:rPr>
          <w:rFonts w:asciiTheme="minorHAnsi" w:hAnsiTheme="minorHAnsi" w:cstheme="minorHAnsi"/>
          <w:color w:val="000000"/>
        </w:rPr>
        <w:t xml:space="preserve"> and get new stuffs from well-known researchers in the field</w:t>
      </w:r>
      <w:r w:rsidR="001D7F87">
        <w:rPr>
          <w:rFonts w:asciiTheme="minorHAnsi" w:hAnsiTheme="minorHAnsi" w:cstheme="minorHAnsi"/>
          <w:color w:val="000000"/>
        </w:rPr>
        <w:t xml:space="preserve"> of endocrinology and reproductive physiology</w:t>
      </w:r>
      <w:r w:rsidRPr="00764AF3">
        <w:rPr>
          <w:rFonts w:asciiTheme="minorHAnsi" w:hAnsiTheme="minorHAnsi" w:cstheme="minorHAnsi"/>
          <w:color w:val="000000"/>
        </w:rPr>
        <w:t xml:space="preserve">. </w:t>
      </w:r>
    </w:p>
    <w:sectPr w:rsidR="00AE3E37" w:rsidRPr="00764AF3" w:rsidSect="00764AF3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B89" w:rsidRDefault="006B1B89">
      <w:r>
        <w:separator/>
      </w:r>
    </w:p>
  </w:endnote>
  <w:endnote w:type="continuationSeparator" w:id="0">
    <w:p w:rsidR="006B1B89" w:rsidRDefault="006B1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New-Roman">
    <w:altName w:val="Times New Roman"/>
    <w:panose1 w:val="00000000000000000000"/>
    <w:charset w:val="00"/>
    <w:family w:val="roman"/>
    <w:notTrueType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B89" w:rsidRDefault="006B1B89">
      <w:r>
        <w:separator/>
      </w:r>
    </w:p>
  </w:footnote>
  <w:footnote w:type="continuationSeparator" w:id="0">
    <w:p w:rsidR="006B1B89" w:rsidRDefault="006B1B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C0D47"/>
    <w:rsid w:val="000E2911"/>
    <w:rsid w:val="00102630"/>
    <w:rsid w:val="001263DF"/>
    <w:rsid w:val="001C1FC3"/>
    <w:rsid w:val="001D7F87"/>
    <w:rsid w:val="002455EC"/>
    <w:rsid w:val="00292ED9"/>
    <w:rsid w:val="00363772"/>
    <w:rsid w:val="00404E5B"/>
    <w:rsid w:val="00414F7B"/>
    <w:rsid w:val="004355DC"/>
    <w:rsid w:val="004749B4"/>
    <w:rsid w:val="00494130"/>
    <w:rsid w:val="004E0554"/>
    <w:rsid w:val="004E35DC"/>
    <w:rsid w:val="004F3523"/>
    <w:rsid w:val="005973B9"/>
    <w:rsid w:val="005B3A56"/>
    <w:rsid w:val="006060CE"/>
    <w:rsid w:val="0063497F"/>
    <w:rsid w:val="006B1B89"/>
    <w:rsid w:val="00764AF3"/>
    <w:rsid w:val="00873DF0"/>
    <w:rsid w:val="008756E6"/>
    <w:rsid w:val="008A08B6"/>
    <w:rsid w:val="008B3BA0"/>
    <w:rsid w:val="008B64B1"/>
    <w:rsid w:val="009B2D44"/>
    <w:rsid w:val="00A07E82"/>
    <w:rsid w:val="00A9710C"/>
    <w:rsid w:val="00AC748F"/>
    <w:rsid w:val="00AD50A2"/>
    <w:rsid w:val="00AE239E"/>
    <w:rsid w:val="00AE3E37"/>
    <w:rsid w:val="00B134FA"/>
    <w:rsid w:val="00B21A57"/>
    <w:rsid w:val="00B44F4E"/>
    <w:rsid w:val="00C33602"/>
    <w:rsid w:val="00CD6F55"/>
    <w:rsid w:val="00DE3104"/>
    <w:rsid w:val="00DE70A2"/>
    <w:rsid w:val="00E26B10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Strong">
    <w:name w:val="Strong"/>
    <w:basedOn w:val="DefaultParagraphFont"/>
    <w:uiPriority w:val="22"/>
    <w:qFormat/>
    <w:rsid w:val="00AD50A2"/>
    <w:rPr>
      <w:b/>
      <w:bCs/>
    </w:rPr>
  </w:style>
  <w:style w:type="character" w:customStyle="1" w:styleId="fontstyle01">
    <w:name w:val="fontstyle01"/>
    <w:basedOn w:val="DefaultParagraphFont"/>
    <w:rsid w:val="00764AF3"/>
    <w:rPr>
      <w:rFonts w:ascii="Times-New-Roman" w:hAnsi="Times-New-Roman" w:hint="default"/>
      <w:b w:val="0"/>
      <w:bCs w:val="0"/>
      <w:i w:val="0"/>
      <w:iCs w:val="0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Strong">
    <w:name w:val="Strong"/>
    <w:basedOn w:val="DefaultParagraphFont"/>
    <w:uiPriority w:val="22"/>
    <w:qFormat/>
    <w:rsid w:val="00AD50A2"/>
    <w:rPr>
      <w:b/>
      <w:bCs/>
    </w:rPr>
  </w:style>
  <w:style w:type="character" w:customStyle="1" w:styleId="fontstyle01">
    <w:name w:val="fontstyle01"/>
    <w:basedOn w:val="DefaultParagraphFont"/>
    <w:rsid w:val="00764AF3"/>
    <w:rPr>
      <w:rFonts w:ascii="Times-New-Roman" w:hAnsi="Times-New-Roman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mohsin.ibms@kmu.edu.p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ti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Mohsin IBMS</cp:lastModifiedBy>
  <cp:revision>9</cp:revision>
  <dcterms:created xsi:type="dcterms:W3CDTF">2019-01-23T07:20:00Z</dcterms:created>
  <dcterms:modified xsi:type="dcterms:W3CDTF">2019-01-24T07:51:00Z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