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AB2D4" w14:textId="77777777" w:rsidR="00EB361C"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EB361C" w:rsidRPr="00EB361C">
        <w:rPr>
          <w:rFonts w:ascii="Times New Roman" w:eastAsia="Tw Cen MT" w:hAnsi="Times New Roman" w:cs="Times New Roman"/>
          <w:b/>
          <w:sz w:val="24"/>
          <w:szCs w:val="24"/>
          <w:lang w:val="en-US"/>
        </w:rPr>
        <w:t>Compensation Method for Estimating the State of Charge of Li-Polymer Batteries Using Multiple Long Short-Term Memory Networks Based on the Extended Kalman Filter</w:t>
      </w:r>
    </w:p>
    <w:p w14:paraId="63FB2B42" w14:textId="77777777" w:rsidR="006B3217" w:rsidRDefault="006B3217" w:rsidP="00194BF9">
      <w:pPr>
        <w:spacing w:after="0" w:line="240" w:lineRule="auto"/>
        <w:jc w:val="center"/>
        <w:rPr>
          <w:rFonts w:ascii="Times New Roman" w:eastAsia="Tw Cen MT" w:hAnsi="Times New Roman" w:cs="Times New Roman"/>
          <w:sz w:val="24"/>
          <w:szCs w:val="24"/>
          <w:vertAlign w:val="superscript"/>
          <w:lang w:val="en-US"/>
        </w:rPr>
      </w:pPr>
    </w:p>
    <w:p w14:paraId="35B75E51" w14:textId="77777777" w:rsidR="00EB361C" w:rsidRPr="00194BF9" w:rsidRDefault="00EB361C" w:rsidP="00EB361C">
      <w:pPr>
        <w:spacing w:after="0" w:line="240" w:lineRule="auto"/>
        <w:jc w:val="center"/>
        <w:rPr>
          <w:rFonts w:ascii="Times New Roman" w:eastAsia="Tw Cen MT" w:hAnsi="Times New Roman" w:cs="Times New Roman"/>
          <w:sz w:val="24"/>
          <w:szCs w:val="24"/>
          <w:vertAlign w:val="superscript"/>
          <w:lang w:val="en-US"/>
        </w:rPr>
      </w:pPr>
      <w:r w:rsidRPr="00EB361C">
        <w:rPr>
          <w:rFonts w:ascii="Times New Roman" w:eastAsia="Tw Cen MT" w:hAnsi="Times New Roman" w:cs="Times New Roman"/>
          <w:sz w:val="24"/>
          <w:szCs w:val="24"/>
          <w:lang w:val="en-US"/>
        </w:rPr>
        <w:t>Donghoon Shin</w:t>
      </w:r>
      <w:r w:rsidRPr="00194BF9">
        <w:rPr>
          <w:rFonts w:ascii="Times New Roman" w:eastAsia="Tw Cen MT" w:hAnsi="Times New Roman" w:cs="Times New Roman"/>
          <w:sz w:val="24"/>
          <w:szCs w:val="24"/>
          <w:vertAlign w:val="superscript"/>
          <w:lang w:val="en-US"/>
        </w:rPr>
        <w:t>1</w:t>
      </w:r>
      <w:r w:rsidRPr="00EB361C">
        <w:rPr>
          <w:rFonts w:ascii="Times New Roman" w:eastAsia="Tw Cen MT" w:hAnsi="Times New Roman" w:cs="Times New Roman"/>
          <w:sz w:val="24"/>
          <w:szCs w:val="24"/>
          <w:lang w:val="en-US"/>
        </w:rPr>
        <w:t>, B</w:t>
      </w:r>
      <w:r>
        <w:rPr>
          <w:rFonts w:ascii="Times New Roman" w:eastAsia="Tw Cen MT" w:hAnsi="Times New Roman" w:cs="Times New Roman"/>
          <w:sz w:val="24"/>
          <w:szCs w:val="24"/>
          <w:lang w:val="en-US"/>
        </w:rPr>
        <w:t>eomjin Yoon</w:t>
      </w:r>
      <w:r w:rsidRPr="00194BF9">
        <w:rPr>
          <w:rFonts w:ascii="Times New Roman" w:eastAsia="Tw Cen MT" w:hAnsi="Times New Roman" w:cs="Times New Roman"/>
          <w:sz w:val="24"/>
          <w:szCs w:val="24"/>
          <w:vertAlign w:val="superscript"/>
          <w:lang w:val="en-US"/>
        </w:rPr>
        <w:t>1</w:t>
      </w:r>
      <w:r>
        <w:rPr>
          <w:rFonts w:ascii="Times New Roman" w:eastAsia="Tw Cen MT" w:hAnsi="Times New Roman" w:cs="Times New Roman"/>
          <w:sz w:val="24"/>
          <w:szCs w:val="24"/>
          <w:lang w:val="en-US"/>
        </w:rPr>
        <w:t xml:space="preserve"> and Seungryeol Yoo</w:t>
      </w:r>
      <w:r w:rsidRPr="00194BF9">
        <w:rPr>
          <w:rFonts w:ascii="Times New Roman" w:eastAsia="Tw Cen MT" w:hAnsi="Times New Roman" w:cs="Times New Roman"/>
          <w:sz w:val="24"/>
          <w:szCs w:val="24"/>
          <w:vertAlign w:val="superscript"/>
          <w:lang w:val="en-US"/>
        </w:rPr>
        <w:t>1</w:t>
      </w:r>
    </w:p>
    <w:p w14:paraId="56AA1879" w14:textId="77777777"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14:paraId="5679CBFF" w14:textId="77777777" w:rsidR="006B3217"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00EB361C">
        <w:rPr>
          <w:rFonts w:ascii="Times New Roman" w:eastAsia="Calibri" w:hAnsi="Times New Roman" w:cs="Times New Roman"/>
          <w:i/>
          <w:sz w:val="24"/>
          <w:szCs w:val="24"/>
          <w:vertAlign w:val="superscript"/>
          <w:lang w:val="en-US"/>
        </w:rPr>
        <w:t xml:space="preserve"> </w:t>
      </w:r>
      <w:r w:rsidR="00EB361C" w:rsidRPr="00EB361C">
        <w:rPr>
          <w:rFonts w:ascii="Times New Roman" w:eastAsia="Calibri" w:hAnsi="Times New Roman" w:cs="Times New Roman"/>
          <w:i/>
          <w:sz w:val="24"/>
          <w:szCs w:val="24"/>
          <w:lang w:val="en-US"/>
        </w:rPr>
        <w:t>The School of Mechanical Engineering, Korea University of Technology and Education, Cheonan 31253, Korea;</w:t>
      </w:r>
    </w:p>
    <w:p w14:paraId="1993E103" w14:textId="77777777" w:rsidR="00EB361C" w:rsidRDefault="00EB361C" w:rsidP="00194BF9">
      <w:pPr>
        <w:spacing w:after="0" w:line="240" w:lineRule="auto"/>
        <w:rPr>
          <w:rFonts w:ascii="Times New Roman" w:eastAsia="Calibri" w:hAnsi="Times New Roman" w:cs="Times New Roman"/>
          <w:i/>
          <w:sz w:val="24"/>
          <w:szCs w:val="24"/>
          <w:lang w:val="en-US"/>
        </w:rPr>
      </w:pPr>
    </w:p>
    <w:p w14:paraId="592BEEBB" w14:textId="77777777" w:rsidR="00EB361C" w:rsidRPr="00EB361C" w:rsidRDefault="00EB361C" w:rsidP="00194BF9">
      <w:pPr>
        <w:spacing w:after="0" w:line="240" w:lineRule="auto"/>
        <w:rPr>
          <w:rFonts w:ascii="Times New Roman" w:eastAsia="Calibri" w:hAnsi="Times New Roman" w:cs="Times New Roman"/>
          <w:i/>
          <w:sz w:val="24"/>
          <w:szCs w:val="24"/>
          <w:lang w:val="en-US"/>
        </w:rPr>
      </w:pPr>
    </w:p>
    <w:p w14:paraId="05725015"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14:paraId="0D76E86F" w14:textId="77777777" w:rsidR="006B3217" w:rsidRDefault="006B3217" w:rsidP="00194BF9">
      <w:pPr>
        <w:spacing w:after="0" w:line="240" w:lineRule="auto"/>
        <w:rPr>
          <w:rFonts w:ascii="Times New Roman" w:eastAsia="Calibri" w:hAnsi="Times New Roman" w:cs="Times New Roman"/>
          <w:sz w:val="24"/>
          <w:szCs w:val="24"/>
          <w:lang w:val="en-US"/>
        </w:rPr>
      </w:pPr>
    </w:p>
    <w:p w14:paraId="25BFA3A5" w14:textId="77777777" w:rsidR="00EB361C" w:rsidRPr="00194BF9" w:rsidRDefault="00EB361C" w:rsidP="00194BF9">
      <w:pPr>
        <w:spacing w:after="0" w:line="240" w:lineRule="auto"/>
        <w:rPr>
          <w:rFonts w:ascii="Times New Roman" w:eastAsia="Calibri" w:hAnsi="Times New Roman" w:cs="Times New Roman"/>
          <w:sz w:val="24"/>
          <w:szCs w:val="24"/>
          <w:lang w:val="en-US"/>
        </w:rPr>
        <w:sectPr w:rsidR="00EB361C" w:rsidRPr="00194BF9" w:rsidSect="006B3217">
          <w:pgSz w:w="11906" w:h="16838"/>
          <w:pgMar w:top="993" w:right="991" w:bottom="1440" w:left="993" w:header="708" w:footer="708" w:gutter="0"/>
          <w:cols w:space="708"/>
          <w:docGrid w:linePitch="360"/>
        </w:sectPr>
      </w:pPr>
    </w:p>
    <w:p w14:paraId="43F5C90F" w14:textId="31845951" w:rsidR="00DB4BB2" w:rsidRPr="004267E8" w:rsidRDefault="00DB4BB2" w:rsidP="00DB4BB2">
      <w:pPr>
        <w:spacing w:after="0" w:line="240" w:lineRule="auto"/>
        <w:jc w:val="both"/>
        <w:rPr>
          <w:rFonts w:ascii="Times New Roman" w:eastAsia="Calibri" w:hAnsi="Times New Roman" w:cs="Times New Roman"/>
          <w:sz w:val="24"/>
          <w:szCs w:val="24"/>
          <w:lang w:val="en-US"/>
        </w:rPr>
        <w:sectPr w:rsidR="00DB4BB2" w:rsidRPr="004267E8" w:rsidSect="001753E4">
          <w:type w:val="continuous"/>
          <w:pgSz w:w="11906" w:h="16838"/>
          <w:pgMar w:top="1440" w:right="991" w:bottom="1440" w:left="993" w:header="708" w:footer="708" w:gutter="0"/>
          <w:cols w:num="2" w:space="284"/>
          <w:docGrid w:linePitch="360"/>
        </w:sectPr>
      </w:pPr>
      <w:r w:rsidRPr="00DB4BB2">
        <w:rPr>
          <w:rFonts w:ascii="Times New Roman" w:eastAsia="Calibri" w:hAnsi="Times New Roman" w:cs="Times New Roman" w:hint="eastAsia"/>
          <w:sz w:val="24"/>
          <w:szCs w:val="24"/>
          <w:lang w:val="en-US"/>
        </w:rPr>
        <w:lastRenderedPageBreak/>
        <w:t xml:space="preserve">Estimating </w:t>
      </w:r>
      <w:r w:rsidRPr="00DB4BB2">
        <w:rPr>
          <w:rFonts w:ascii="Times New Roman" w:eastAsia="Calibri" w:hAnsi="Times New Roman" w:cs="Times New Roman"/>
          <w:sz w:val="24"/>
          <w:szCs w:val="24"/>
          <w:lang w:val="en-US"/>
        </w:rPr>
        <w:t>the state of charge (SOC) is essential for maintaining the performance of batteries and expanding the lifespan of batteries. Many SOC estimation methods have been studied for decades; however, it is still difficult to precisely estimate the SOC, because it is nonlinear and affected by many factors, including the battery state and charge-discharge conditions. The extended Kalman filter (EKF) is generally used for SOC estimation, but its accuracy can be reduced due to the</w:t>
      </w:r>
      <w:r w:rsidRPr="00DB4BB2">
        <w:rPr>
          <w:rFonts w:ascii="Times New Roman" w:eastAsia="Calibri" w:hAnsi="Times New Roman" w:cs="Times New Roman" w:hint="eastAsia"/>
          <w:sz w:val="24"/>
          <w:szCs w:val="24"/>
          <w:lang w:val="en-US"/>
        </w:rPr>
        <w:t xml:space="preserve"> uncertain </w:t>
      </w:r>
      <w:r w:rsidRPr="00DB4BB2">
        <w:rPr>
          <w:rFonts w:ascii="Times New Roman" w:eastAsia="Calibri" w:hAnsi="Times New Roman" w:cs="Times New Roman"/>
          <w:sz w:val="24"/>
          <w:szCs w:val="24"/>
          <w:lang w:val="en-US"/>
        </w:rPr>
        <w:t xml:space="preserve">and inaccurate parameters of battery models </w:t>
      </w:r>
      <w:r w:rsidRPr="00DB4BB2">
        <w:rPr>
          <w:rFonts w:ascii="Times New Roman" w:eastAsia="Calibri" w:hAnsi="Times New Roman" w:cs="Times New Roman" w:hint="eastAsia"/>
          <w:sz w:val="24"/>
          <w:szCs w:val="24"/>
          <w:lang w:val="en-US"/>
        </w:rPr>
        <w:t xml:space="preserve">and </w:t>
      </w:r>
      <w:r w:rsidRPr="00DB4BB2">
        <w:rPr>
          <w:rFonts w:ascii="Times New Roman" w:eastAsia="Calibri" w:hAnsi="Times New Roman" w:cs="Times New Roman"/>
          <w:sz w:val="24"/>
          <w:szCs w:val="24"/>
          <w:lang w:val="en-US"/>
        </w:rPr>
        <w:t xml:space="preserve">due to the </w:t>
      </w:r>
      <w:r w:rsidRPr="00DB4BB2">
        <w:rPr>
          <w:rFonts w:ascii="Times New Roman" w:eastAsia="Calibri" w:hAnsi="Times New Roman" w:cs="Times New Roman" w:hint="eastAsia"/>
          <w:sz w:val="24"/>
          <w:szCs w:val="24"/>
          <w:lang w:val="en-US"/>
        </w:rPr>
        <w:t>va</w:t>
      </w:r>
      <w:r w:rsidRPr="00DB4BB2">
        <w:rPr>
          <w:rFonts w:ascii="Times New Roman" w:eastAsia="Calibri" w:hAnsi="Times New Roman" w:cs="Times New Roman"/>
          <w:sz w:val="24"/>
          <w:szCs w:val="24"/>
          <w:lang w:val="en-US"/>
        </w:rPr>
        <w:t xml:space="preserve">rious factors with the different time scales affecting the SOC. Herein, a SOC estimation method based on the EKF is proposed to obtain robust accuracy, where the errors are compensated by a long short-term memory (LSTM) network. The proposed approach trains the errors of the EKF results, and the </w:t>
      </w:r>
      <w:r w:rsidRPr="00DB4BB2">
        <w:rPr>
          <w:rFonts w:ascii="Times New Roman" w:eastAsia="Calibri" w:hAnsi="Times New Roman" w:cs="Times New Roman" w:hint="eastAsia"/>
          <w:sz w:val="24"/>
          <w:szCs w:val="24"/>
          <w:lang w:val="en-US"/>
        </w:rPr>
        <w:t xml:space="preserve">accurate SOC is estimated by applying calibration values corresponding </w:t>
      </w:r>
      <w:r w:rsidRPr="00DB4BB2">
        <w:rPr>
          <w:rFonts w:ascii="Times New Roman" w:eastAsia="Calibri" w:hAnsi="Times New Roman" w:cs="Times New Roman"/>
          <w:sz w:val="24"/>
          <w:szCs w:val="24"/>
          <w:lang w:val="en-US"/>
        </w:rPr>
        <w:t xml:space="preserve">to the condition of the battery and its load profiles with the help of LSTM. Furthermore, a multi LSTM structure is implemented instead of the single LSTM structure, and it adopts the ensemble average to guarantee the estimation accuracy. The proposed method </w:t>
      </w:r>
      <w:r w:rsidRPr="00DB4BB2">
        <w:rPr>
          <w:rFonts w:ascii="Times New Roman" w:eastAsia="Calibri" w:hAnsi="Times New Roman" w:cs="Times New Roman"/>
          <w:sz w:val="24"/>
          <w:szCs w:val="24"/>
          <w:lang w:val="en-US"/>
        </w:rPr>
        <w:lastRenderedPageBreak/>
        <w:t xml:space="preserve">was verified by comparing a series of </w:t>
      </w:r>
      <w:r w:rsidRPr="00DB4BB2">
        <w:rPr>
          <w:rFonts w:ascii="Times New Roman" w:eastAsia="Calibri" w:hAnsi="Times New Roman" w:cs="Times New Roman" w:hint="eastAsia"/>
          <w:sz w:val="24"/>
          <w:szCs w:val="24"/>
          <w:lang w:val="en-US"/>
        </w:rPr>
        <w:t>experiment</w:t>
      </w:r>
      <w:r w:rsidRPr="00DB4BB2">
        <w:rPr>
          <w:rFonts w:ascii="Times New Roman" w:eastAsia="Calibri" w:hAnsi="Times New Roman" w:cs="Times New Roman"/>
          <w:sz w:val="24"/>
          <w:szCs w:val="24"/>
          <w:lang w:val="en-US"/>
        </w:rPr>
        <w:t>s using a battery pack with 90 cells. SOC estimation with a Root Mean Square Error of less than 1% was found to be near that of a real SOC calculated by coulomb counting. Moreover, once the EKF model was established and the network trained, it was possible to predict the SOC online</w:t>
      </w:r>
      <w:commentRangeStart w:id="0"/>
      <w:commentRangeStart w:id="1"/>
      <w:r w:rsidRPr="00DB4BB2">
        <w:rPr>
          <w:rFonts w:ascii="Times New Roman" w:eastAsia="Calibri" w:hAnsi="Times New Roman" w:cs="Times New Roman"/>
          <w:sz w:val="24"/>
          <w:szCs w:val="24"/>
          <w:lang w:val="en-US"/>
        </w:rPr>
        <w:t>.</w:t>
      </w:r>
      <w:commentRangeEnd w:id="0"/>
      <w:r w:rsidRPr="00DB4BB2">
        <w:rPr>
          <w:rFonts w:ascii="Times New Roman" w:eastAsia="Calibri" w:hAnsi="Times New Roman" w:cs="Times New Roman"/>
          <w:sz w:val="24"/>
          <w:szCs w:val="24"/>
          <w:lang w:val="en-US"/>
        </w:rPr>
        <w:commentReference w:id="0"/>
      </w:r>
      <w:commentRangeEnd w:id="1"/>
      <w:r w:rsidR="004267E8">
        <w:rPr>
          <w:rFonts w:ascii="Times New Roman" w:eastAsia="Calibri" w:hAnsi="Times New Roman" w:cs="Times New Roman"/>
          <w:sz w:val="24"/>
          <w:szCs w:val="24"/>
          <w:lang w:val="en-US"/>
        </w:rPr>
        <w:t xml:space="preserve"> </w:t>
      </w:r>
      <w:r w:rsidR="004267E8" w:rsidRPr="004267E8">
        <w:rPr>
          <w:rFonts w:ascii="Times New Roman" w:eastAsia="Calibri" w:hAnsi="Times New Roman" w:cs="Times New Roman"/>
          <w:sz w:val="24"/>
          <w:szCs w:val="24"/>
          <w:lang w:val="en-US"/>
        </w:rPr>
        <w:t>The contributions of the proposed novel method in this paper are summarized as follows. (1) Despite the use of the SOC–OCV model for estimating the SOC state, this novel method can estimate the accurate OCV and SOC right after battery discharge without any rest period to observe the OCV. (2) It is possible to reduce the influence of the model parameter uncertainty and the SOC–OCV model error, which has a profound effect on the SOC estimation in</w:t>
      </w:r>
      <w:bookmarkStart w:id="2" w:name="_GoBack"/>
      <w:bookmarkEnd w:id="2"/>
      <w:r w:rsidR="004267E8" w:rsidRPr="004267E8">
        <w:rPr>
          <w:rFonts w:ascii="Times New Roman" w:eastAsia="Calibri" w:hAnsi="Times New Roman" w:cs="Times New Roman"/>
          <w:sz w:val="24"/>
          <w:szCs w:val="24"/>
          <w:lang w:val="en-US"/>
        </w:rPr>
        <w:t xml:space="preserve"> existing model-based methods. (3) Using multiple LSTM network structures and a sort of ensemble average, phenomena occurring over a relatively long period of time (e.g., aging, non-homogeneity in the electrochemical state between cells) as well as phenomena occurring immediately (e.g., changes in temperature) can be reflected in the SOC estimation.</w:t>
      </w:r>
      <w:r w:rsidR="004267E8">
        <w:t xml:space="preserve"> </w:t>
      </w:r>
      <w:r w:rsidRPr="00DB4BB2">
        <w:rPr>
          <w:rFonts w:ascii="Times New Roman" w:eastAsia="Calibri" w:hAnsi="Times New Roman" w:cs="Times New Roman"/>
          <w:sz w:val="24"/>
          <w:szCs w:val="24"/>
          <w:lang w:val="en-US"/>
        </w:rPr>
        <w:commentReference w:id="1"/>
      </w:r>
    </w:p>
    <w:p w14:paraId="472F0F4D" w14:textId="77777777" w:rsidR="006B3217" w:rsidRDefault="006B3217" w:rsidP="00194BF9">
      <w:pPr>
        <w:spacing w:after="0" w:line="240" w:lineRule="auto"/>
        <w:rPr>
          <w:rFonts w:ascii="Times New Roman" w:eastAsia="Calibri" w:hAnsi="Times New Roman" w:cs="Times New Roman"/>
          <w:sz w:val="24"/>
          <w:szCs w:val="24"/>
          <w:lang w:val="en-US"/>
        </w:rPr>
      </w:pPr>
    </w:p>
    <w:p w14:paraId="736AE86B" w14:textId="77777777" w:rsidR="00EB361C" w:rsidRPr="00194BF9" w:rsidRDefault="00EB361C" w:rsidP="00194BF9">
      <w:pPr>
        <w:spacing w:after="0" w:line="240" w:lineRule="auto"/>
        <w:rPr>
          <w:rFonts w:ascii="Times New Roman" w:eastAsia="Calibri" w:hAnsi="Times New Roman" w:cs="Times New Roman"/>
          <w:sz w:val="24"/>
          <w:szCs w:val="24"/>
          <w:lang w:val="en-US"/>
        </w:rPr>
      </w:pPr>
    </w:p>
    <w:p w14:paraId="67633CD7"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14:paraId="6521FA91"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Meissner, E.; Richter, G. Battery monitoring and electrical energy management. J. Power Sources 2003, 116, 79–98, doi:10.1016/S0378-7753(02)00713-9. </w:t>
      </w:r>
    </w:p>
    <w:p w14:paraId="63966D2E"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Ng, K.S.; Moo, C.; Chen, Y.; Hsieh, Y. Enhanced coulomb counting method for estimating state-of-charge and state-of-health of lithium-ion batteries. Appl. Energy 2009, 86, 1506–1511, doi:10.1016/j.apenergy.2008.11.021. </w:t>
      </w:r>
    </w:p>
    <w:p w14:paraId="1CE77C1E"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Jeong, Y.M. Enhanced coulomb counting method with adaptive SOC reset time for estimating OCV. In IEEE Energy Conversion Congress and Exposition ECCE, Proceedings of the 2014 Energy Conversion Congress and Exposition, Pittsburgh, PA, USA, 14–18 September 2014; IEEE: New York, NY, USA, 2014; pp. 4313–4318.</w:t>
      </w:r>
    </w:p>
    <w:p w14:paraId="77914EC8"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Yu, Z.; Huai, R.; Xiao, L. State-of-charge estimation for lithium-ion batteries using a Kalman filter based on local linearization. Energies 2015, 8, 7854–7873, doi:10.3390/en8087854. </w:t>
      </w:r>
    </w:p>
    <w:p w14:paraId="1C883E3A"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lastRenderedPageBreak/>
        <w:t xml:space="preserve">He, H. State-of-charge estimation of the lithium-ion battery using an adaptive extended Kalman filter based on an improved Thevenin model. IEEE Trans. Veh. Technol. 2011, 60, 1461–1469. </w:t>
      </w:r>
    </w:p>
    <w:p w14:paraId="31C7FC61"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Dai, H.; Wei, X.; Sun, Z.; Wang, J.; Gu, W. Online cell SOC estimation of Li-ion battery packs using a dual time-scale Kalman filtering for EV applications. Appl. Energy 2012, 95, 227–237, doi:10.1016/j.apenergy.2012.02.044. </w:t>
      </w:r>
    </w:p>
    <w:p w14:paraId="6029EFC0"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Chen, Z.; Fu, Y.; Mi, C.C. State of charge estimation of lithium-ion batteries in electric drive vehicles using extended Kalman filtering. IEEE Trans. Veh. Technol 2013, 62, 1020–1030, doi:10.1109/TVT.2012.2235474. </w:t>
      </w:r>
    </w:p>
    <w:p w14:paraId="43DF82C6"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Yu, Q.; Xiong, R.; Lin, C.; Shen, W.; Deng, J. Lithium-ion battery parameters and state-of-charge joint estimation based on Hinfinity and unscented Kalman filters. IEEE Trans. Veh. Technol. 2017, 66, 8693–8701, doi:10.1109/TVT.2017.2709326. </w:t>
      </w:r>
    </w:p>
    <w:p w14:paraId="70A8C097"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Hu, X.; Li, S.; Peng, H. A comparative study of equivalent circuit models for Li-ion batteries. J. Power Sources 2012, 198, 359–367, doi:10.1016/j.jpowsour.2011.10.013. </w:t>
      </w:r>
    </w:p>
    <w:p w14:paraId="14F158D2"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Kim, H. Modeling and characteristic analysis of HEV Li-ion battery using recursive least square estimation. Trans. KASE 2009, 17, 130–136. </w:t>
      </w:r>
    </w:p>
    <w:p w14:paraId="09E91C6D"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He, H.; Zhang, X.; Xiong, R.; Xu, Y.; Guo, H. Online model-based estimation of state-of-charge and open-circuit voltage of lithium-ion batteries in electric vehicles. Energy 2012, 39, 310–318, doi:10.1016/j.energy.2012.01.009. </w:t>
      </w:r>
    </w:p>
    <w:p w14:paraId="4EF4348C"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w:t>
      </w:r>
      <w:r w:rsidRPr="00EB361C">
        <w:rPr>
          <w:rFonts w:ascii="Times New Roman" w:eastAsia="Times New Roman" w:hAnsi="Times New Roman" w:cs="Times New Roman"/>
          <w:noProof/>
          <w:sz w:val="24"/>
          <w:szCs w:val="24"/>
        </w:rPr>
        <w:t xml:space="preserve">Huang, S.; Tseng, K.; Liang, J.; Chang, C.; Pecht, M. An online SOC and SOH estimation model for lithium-ion batteries. Energies 2017, 10, 512–530, doi:10.3390/en10040512. </w:t>
      </w:r>
    </w:p>
    <w:p w14:paraId="0990CC7C"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Hu, X.; Li, S.E.; Yang, Y. Advanced machine learning approach for lithium-ion battery state estimation in electric vehicles. IEEE Trans. Transp. Electrific. 2016, 2, 140–149, doi:10.1109/TTE.2015.2512237. </w:t>
      </w:r>
    </w:p>
    <w:p w14:paraId="13015A8F" w14:textId="77777777" w:rsidR="00EB361C" w:rsidRP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Zhang, S.; Zhai, B.; Guo, X.; Wang, K.; Peng, N.; Zhang, X. Synchronous estimation of state of health and remaining useful lifetime for lithium-ion battery using the incremental capacity and artificial neural networks. J. Energy Storage 2019, 26, 100951, doi:10.1016/j.est.2019.100951.</w:t>
      </w:r>
      <w:r>
        <w:t xml:space="preserve"> </w:t>
      </w:r>
    </w:p>
    <w:p w14:paraId="35FBEB8E"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Ma, Z.; Yang, R.; Wang, Z. A novel data-model fusion state-of-health estimation approach for lithium-ion batteries. Appl. Energy 2019, 237, 836–847, doi:10.1016/j.apenergy.2018.12.071. </w:t>
      </w:r>
    </w:p>
    <w:p w14:paraId="1C8864A1"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Feng, X.; Weng, C.; He, X.; Han, X.; Lu, L.; Ren, D.; Ouyang, M. Online state-of-health estimation for Li-Ion battery using partial charging segment based on support vector machine. IEEE Trans. Veh. Technol 2019, 68, 8583–8592, doi:10.1109/TVT.2019.2927120. </w:t>
      </w:r>
    </w:p>
    <w:p w14:paraId="37893740"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Deng, Y.; Ying, H.; Jiaqiang, E.; Zhu, H.; Wei, K.; Chen, J.; Zhang, F.; Liao, G. Feature parameter extraction and intelligent estimation of the State-of-Health of lithium-ion batteries. Energy 2019, 176, 91–102, doi:10.1016/j.energy.2019.03.177. </w:t>
      </w:r>
    </w:p>
    <w:p w14:paraId="26196606"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Antón, J.C.Á. Support vector machines used to estimate the battery state of charge. IEEE Trans. Power Electron. 2013, 28, 5919– 5926. </w:t>
      </w:r>
    </w:p>
    <w:p w14:paraId="376BAA81"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Zhang, L.; Li, K.; Du, D.; Zhu, C.; Zheng, M. A sparse least squares support vector machine used for SOC estimation of Li-ion Batteries. IFAC PapersOnLine 2019, 52, 256–261, doi:10.1016/j.ifacol.2019.09.150. </w:t>
      </w:r>
    </w:p>
    <w:p w14:paraId="3878E4CA"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Sundermeyer, M. LSTM neural networks for language modeling. In Proceedings of the 13th Annual Conference of the International Speech Communication Association, Portland, OR, USA, 9–13 September 2012, pp. 194–197. </w:t>
      </w:r>
    </w:p>
    <w:p w14:paraId="10EDEFA1"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Kim, H.; Park, S. LSTM based LKAS yaw rate prediction model using lane information and steering angle. Trans. KSAE 2018, 26, 279–287, doi:10.7467/KSAE.2018.26.2.279.</w:t>
      </w:r>
    </w:p>
    <w:p w14:paraId="130EA997"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lastRenderedPageBreak/>
        <w:t xml:space="preserve"> Cornia, M.; Baraldi, L.; Serra, G.; Cucchiara, R. Predicting human eye fixations via an LSTM-based saliency attentive model. IEEE Trans. Image Process. 2018, 27, 5142–5154, doi:10.1109/TIP.2018.2851672.</w:t>
      </w:r>
    </w:p>
    <w:p w14:paraId="348CBEE0"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Liu, J.; Li, Q.; Yang, H.; Han, Y.; Jiang, S.; Chen, W. Sequence fault diagnosis for PEMFC water management subsystem using deep learning with t-SNE. IEEE Access 2019, 7, 92009–92019, doi:10.1109/ACCESS.2019.2927092. </w:t>
      </w:r>
    </w:p>
    <w:p w14:paraId="168379FC"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Yang, F.; Li, W.; Li, C.; Miao, Q. State-of-charge estimation of lithium-ion batteries based on gated recurrent neural network. Energy 2019, 175, 66–75, doi:10.1016/j.energy.2019.03.059. </w:t>
      </w:r>
    </w:p>
    <w:p w14:paraId="4CEB6D85"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Song, X.; Yang, F.; Wang, D.; Tsui, K. Combined CNN-LSTM Network for State-of-charge estimation of lithium-ion batteries. IEEE Access 2019, 7, 88894–88902, doi:10.1109/ACCESS.2019.2926517. </w:t>
      </w:r>
    </w:p>
    <w:p w14:paraId="7ED57143"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w:t>
      </w:r>
      <w:r w:rsidRPr="00EB361C">
        <w:rPr>
          <w:rFonts w:ascii="Times New Roman" w:eastAsia="Times New Roman" w:hAnsi="Times New Roman" w:cs="Times New Roman"/>
          <w:noProof/>
          <w:sz w:val="24"/>
          <w:szCs w:val="24"/>
        </w:rPr>
        <w:t xml:space="preserve">Abbas, G. Performance comparison of NARX&amp;RNN-LSTM neural networks for LiFePO4 battery state of charge estimation. In Proceedings of the 2019 16th International Bhurban Conference on Applied Sciences and Technology IBCAST, Islamabad, Pakistan, 8–12 January 2019; pp. 463–468. </w:t>
      </w:r>
    </w:p>
    <w:p w14:paraId="5D671166" w14:textId="77777777" w:rsid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Shin, D.H. Real time water contents measurement based on step response for PEM fuel cell. IJPEM Green Technol. 2019, 6, 883– 892. </w:t>
      </w:r>
    </w:p>
    <w:p w14:paraId="56134BD9" w14:textId="77777777" w:rsidR="00EB361C" w:rsidRPr="00EB361C" w:rsidRDefault="00EB361C" w:rsidP="00EB361C">
      <w:pPr>
        <w:pStyle w:val="a3"/>
        <w:numPr>
          <w:ilvl w:val="0"/>
          <w:numId w:val="2"/>
        </w:numPr>
        <w:autoSpaceDE w:val="0"/>
        <w:autoSpaceDN w:val="0"/>
        <w:adjustRightInd w:val="0"/>
        <w:spacing w:line="240" w:lineRule="auto"/>
        <w:rPr>
          <w:rFonts w:ascii="Times New Roman" w:eastAsia="Times New Roman" w:hAnsi="Times New Roman" w:cs="Times New Roman"/>
          <w:noProof/>
          <w:sz w:val="24"/>
          <w:szCs w:val="24"/>
        </w:rPr>
      </w:pPr>
      <w:r w:rsidRPr="00EB361C">
        <w:rPr>
          <w:rFonts w:ascii="Times New Roman" w:eastAsia="Times New Roman" w:hAnsi="Times New Roman" w:cs="Times New Roman"/>
          <w:noProof/>
          <w:sz w:val="24"/>
          <w:szCs w:val="24"/>
        </w:rPr>
        <w:t xml:space="preserve"> Ko, Y. SOC and SOH estimation method for the lithium batteries using single extended Kalman filter. In Proceedings of the KIPE General Meeting andAutumn Conference, Seoul, Korea, 22 November 2019; pp. 79–81</w:t>
      </w:r>
      <w:r>
        <w:t xml:space="preserve">. </w:t>
      </w:r>
    </w:p>
    <w:p w14:paraId="3D519CD9" w14:textId="77777777" w:rsidR="006B3217" w:rsidRPr="00EB361C" w:rsidRDefault="00607A26" w:rsidP="00EB361C">
      <w:pPr>
        <w:pStyle w:val="a3"/>
        <w:autoSpaceDE w:val="0"/>
        <w:autoSpaceDN w:val="0"/>
        <w:adjustRightInd w:val="0"/>
        <w:spacing w:line="240" w:lineRule="auto"/>
        <w:ind w:left="760" w:firstLine="0"/>
        <w:rPr>
          <w:rFonts w:ascii="Times New Roman" w:eastAsia="Times New Roman" w:hAnsi="Times New Roman" w:cs="Times New Roman"/>
          <w:noProof/>
          <w:sz w:val="24"/>
          <w:szCs w:val="24"/>
        </w:rPr>
      </w:pPr>
      <w:r w:rsidRPr="00194BF9">
        <w:rPr>
          <w:noProof/>
          <w:lang w:eastAsia="ko-KR"/>
        </w:rPr>
        <mc:AlternateContent>
          <mc:Choice Requires="wpg">
            <w:drawing>
              <wp:inline distT="0" distB="0" distL="0" distR="0" wp14:anchorId="0A0680EC" wp14:editId="368C918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00CC8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EFB0293" w14:textId="77777777" w:rsidR="006B3217" w:rsidRPr="00194BF9" w:rsidRDefault="00EB361C" w:rsidP="00194BF9">
      <w:pPr>
        <w:autoSpaceDE w:val="0"/>
        <w:autoSpaceDN w:val="0"/>
        <w:adjustRightInd w:val="0"/>
        <w:spacing w:line="240" w:lineRule="auto"/>
        <w:rPr>
          <w:rFonts w:ascii="Times New Roman" w:eastAsia="Times New Roman" w:hAnsi="Times New Roman" w:cs="Times New Roman"/>
          <w:noProof/>
          <w:sz w:val="24"/>
          <w:szCs w:val="24"/>
        </w:rPr>
      </w:pPr>
      <w:r w:rsidRPr="00314CEC">
        <w:rPr>
          <w:b/>
          <w:noProof/>
          <w:lang w:val="en-US" w:eastAsia="ko-KR"/>
        </w:rPr>
        <w:drawing>
          <wp:anchor distT="0" distB="0" distL="114300" distR="114300" simplePos="0" relativeHeight="251659264" behindDoc="0" locked="0" layoutInCell="1" allowOverlap="1" wp14:anchorId="49B715C5" wp14:editId="0FCB15D7">
            <wp:simplePos x="0" y="0"/>
            <wp:positionH relativeFrom="margin">
              <wp:posOffset>0</wp:posOffset>
            </wp:positionH>
            <wp:positionV relativeFrom="paragraph">
              <wp:posOffset>304165</wp:posOffset>
            </wp:positionV>
            <wp:extent cx="977355" cy="1256599"/>
            <wp:effectExtent l="0" t="0" r="0" b="127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증명사진.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7355" cy="1256599"/>
                    </a:xfrm>
                    <a:prstGeom prst="rect">
                      <a:avLst/>
                    </a:prstGeom>
                  </pic:spPr>
                </pic:pic>
              </a:graphicData>
            </a:graphic>
          </wp:anchor>
        </w:drawing>
      </w:r>
    </w:p>
    <w:p w14:paraId="7E9EC81F" w14:textId="77777777"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14:paraId="2C703DE1" w14:textId="14643F1B" w:rsidR="006B3217" w:rsidRDefault="00037A97" w:rsidP="00194BF9">
      <w:pPr>
        <w:spacing w:after="0" w:line="240" w:lineRule="auto"/>
        <w:rPr>
          <w:rFonts w:ascii="Times New Roman" w:eastAsia="Calibri" w:hAnsi="Times New Roman" w:cs="Times New Roman"/>
          <w:sz w:val="24"/>
          <w:szCs w:val="24"/>
          <w:lang w:val="en-US"/>
        </w:rPr>
      </w:pPr>
      <w:r w:rsidRPr="00037A97">
        <w:rPr>
          <w:rFonts w:ascii="Times New Roman" w:eastAsia="Calibri" w:hAnsi="Times New Roman" w:cs="Times New Roman"/>
          <w:sz w:val="24"/>
          <w:szCs w:val="24"/>
          <w:lang w:val="en-US"/>
        </w:rPr>
        <w:t xml:space="preserve">Donghoon </w:t>
      </w:r>
      <w:r w:rsidRPr="00037A97">
        <w:rPr>
          <w:rFonts w:ascii="Times New Roman" w:eastAsia="Calibri" w:hAnsi="Times New Roman" w:cs="Times New Roman" w:hint="eastAsia"/>
          <w:sz w:val="24"/>
          <w:szCs w:val="24"/>
          <w:lang w:val="en-US"/>
        </w:rPr>
        <w:t>S</w:t>
      </w:r>
      <w:r w:rsidRPr="00037A97">
        <w:rPr>
          <w:rFonts w:ascii="Times New Roman" w:eastAsia="Calibri" w:hAnsi="Times New Roman" w:cs="Times New Roman"/>
          <w:sz w:val="24"/>
          <w:szCs w:val="24"/>
          <w:lang w:val="en-US"/>
        </w:rPr>
        <w:t xml:space="preserve">hin received the B.S and M.S degrees in mechanical engineering from Korea University of Technology and Education, Cheonan-Si, Korea, in 2010 and 2013, respectively. </w:t>
      </w:r>
      <w:r w:rsidRPr="00037A97">
        <w:rPr>
          <w:rFonts w:ascii="Times New Roman" w:eastAsia="Calibri" w:hAnsi="Times New Roman" w:cs="Times New Roman" w:hint="eastAsia"/>
          <w:sz w:val="24"/>
          <w:szCs w:val="24"/>
          <w:lang w:val="en-US"/>
        </w:rPr>
        <w:t>H</w:t>
      </w:r>
      <w:r w:rsidRPr="00037A97">
        <w:rPr>
          <w:rFonts w:ascii="Times New Roman" w:eastAsia="Calibri" w:hAnsi="Times New Roman" w:cs="Times New Roman"/>
          <w:sz w:val="24"/>
          <w:szCs w:val="24"/>
          <w:lang w:val="en-US"/>
        </w:rPr>
        <w:t xml:space="preserve">e is currently a </w:t>
      </w:r>
      <w:r w:rsidR="00991B99">
        <w:rPr>
          <w:rFonts w:ascii="Times New Roman" w:eastAsia="Calibri" w:hAnsi="Times New Roman" w:cs="Times New Roman"/>
          <w:sz w:val="24"/>
          <w:szCs w:val="24"/>
          <w:lang w:val="en-US"/>
        </w:rPr>
        <w:t>PhD</w:t>
      </w:r>
      <w:r w:rsidRPr="00037A97">
        <w:rPr>
          <w:rFonts w:ascii="Times New Roman" w:eastAsia="Calibri" w:hAnsi="Times New Roman" w:cs="Times New Roman"/>
          <w:sz w:val="24"/>
          <w:szCs w:val="24"/>
          <w:lang w:val="en-US"/>
        </w:rPr>
        <w:t xml:space="preserve"> </w:t>
      </w:r>
      <w:r w:rsidRPr="00037A97">
        <w:rPr>
          <w:rFonts w:ascii="Times New Roman" w:eastAsia="Calibri" w:hAnsi="Times New Roman" w:cs="Times New Roman" w:hint="eastAsia"/>
          <w:sz w:val="24"/>
          <w:szCs w:val="24"/>
          <w:lang w:val="en-US"/>
        </w:rPr>
        <w:t>candidate</w:t>
      </w:r>
      <w:r>
        <w:rPr>
          <w:rFonts w:asciiTheme="minorEastAsia" w:hAnsiTheme="minorEastAsia" w:cs="Times New Roman" w:hint="eastAsia"/>
          <w:sz w:val="24"/>
          <w:szCs w:val="24"/>
          <w:lang w:val="en-US" w:eastAsia="ko-KR"/>
        </w:rPr>
        <w:t xml:space="preserve"> </w:t>
      </w:r>
      <w:r w:rsidRPr="00037A97">
        <w:rPr>
          <w:rFonts w:ascii="Times New Roman" w:eastAsia="Calibri" w:hAnsi="Times New Roman" w:cs="Times New Roman"/>
          <w:sz w:val="24"/>
          <w:szCs w:val="24"/>
          <w:lang w:val="en-US"/>
        </w:rPr>
        <w:t>at Korea University of Technology and Education. His research interests include diagnosis and prognosis with applications to proton exchange membrane fuel cell</w:t>
      </w:r>
      <w:r w:rsidR="00991B99">
        <w:rPr>
          <w:rFonts w:ascii="Times New Roman" w:eastAsia="Calibri" w:hAnsi="Times New Roman" w:cs="Times New Roman"/>
          <w:sz w:val="24"/>
          <w:szCs w:val="24"/>
          <w:lang w:val="en-US"/>
        </w:rPr>
        <w:t>(</w:t>
      </w:r>
      <w:r w:rsidR="00991B99" w:rsidRPr="00991B99">
        <w:rPr>
          <w:rFonts w:ascii="Times New Roman" w:eastAsia="Calibri" w:hAnsi="Times New Roman" w:cs="Times New Roman"/>
          <w:sz w:val="24"/>
          <w:szCs w:val="24"/>
          <w:lang w:val="en-US"/>
        </w:rPr>
        <w:t>PEMFC)</w:t>
      </w:r>
      <w:r w:rsidR="00991B99">
        <w:rPr>
          <w:rFonts w:ascii="Times New Roman" w:eastAsia="Calibri" w:hAnsi="Times New Roman" w:cs="Times New Roman"/>
          <w:sz w:val="24"/>
          <w:szCs w:val="24"/>
          <w:lang w:val="en-US"/>
        </w:rPr>
        <w:t xml:space="preserve"> and</w:t>
      </w:r>
      <w:r w:rsidRPr="00037A97">
        <w:rPr>
          <w:rFonts w:ascii="Times New Roman" w:eastAsia="Calibri" w:hAnsi="Times New Roman" w:cs="Times New Roman"/>
          <w:sz w:val="24"/>
          <w:szCs w:val="24"/>
          <w:lang w:val="en-US"/>
        </w:rPr>
        <w:t xml:space="preserve"> </w:t>
      </w:r>
      <w:r w:rsidR="001E09D2">
        <w:rPr>
          <w:rFonts w:ascii="Times New Roman" w:eastAsia="Calibri" w:hAnsi="Times New Roman" w:cs="Times New Roman" w:hint="eastAsia"/>
          <w:sz w:val="24"/>
          <w:szCs w:val="24"/>
          <w:lang w:val="en-US"/>
        </w:rPr>
        <w:t>l</w:t>
      </w:r>
      <w:r w:rsidRPr="00037A97">
        <w:rPr>
          <w:rFonts w:ascii="Times New Roman" w:eastAsia="Calibri" w:hAnsi="Times New Roman" w:cs="Times New Roman" w:hint="eastAsia"/>
          <w:sz w:val="24"/>
          <w:szCs w:val="24"/>
          <w:lang w:val="en-US"/>
        </w:rPr>
        <w:t>ithium-ion battery.</w:t>
      </w:r>
    </w:p>
    <w:p w14:paraId="6902BAE0" w14:textId="77777777" w:rsidR="00037A97" w:rsidRPr="00194BF9" w:rsidRDefault="00037A97" w:rsidP="00194BF9">
      <w:pPr>
        <w:spacing w:after="0" w:line="240" w:lineRule="auto"/>
        <w:rPr>
          <w:rFonts w:ascii="Times New Roman" w:eastAsia="Calibri" w:hAnsi="Times New Roman" w:cs="Times New Roman"/>
          <w:sz w:val="24"/>
          <w:szCs w:val="24"/>
          <w:lang w:val="en-US"/>
        </w:rPr>
      </w:pPr>
    </w:p>
    <w:p w14:paraId="28C810EC"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037A97">
        <w:rPr>
          <w:rFonts w:ascii="Times New Roman" w:eastAsia="Calibri" w:hAnsi="Times New Roman" w:cs="Times New Roman"/>
          <w:sz w:val="24"/>
          <w:szCs w:val="24"/>
          <w:lang w:val="en-US"/>
        </w:rPr>
        <w:t>Donghoon Shin</w:t>
      </w:r>
    </w:p>
    <w:p w14:paraId="1E3DF6A4"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037A97">
        <w:rPr>
          <w:rFonts w:ascii="Times New Roman" w:eastAsia="Calibri" w:hAnsi="Times New Roman" w:cs="Times New Roman"/>
          <w:sz w:val="24"/>
          <w:szCs w:val="24"/>
          <w:lang w:val="en-US"/>
        </w:rPr>
        <w:t>sdh13ok@koreatech.ac.kr</w:t>
      </w:r>
    </w:p>
    <w:p w14:paraId="4A2BC14D"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p>
    <w:p w14:paraId="0BA38B01"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00037A97">
        <w:rPr>
          <w:rFonts w:ascii="Times New Roman" w:eastAsia="Calibri" w:hAnsi="Times New Roman" w:cs="Times New Roman"/>
          <w:sz w:val="24"/>
          <w:szCs w:val="24"/>
          <w:lang w:val="en-US"/>
        </w:rPr>
        <w:t xml:space="preserve"> Speaker, Renewable Energy</w:t>
      </w:r>
    </w:p>
    <w:p w14:paraId="1C186BA6"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037A97">
        <w:rPr>
          <w:rFonts w:ascii="Times New Roman" w:eastAsia="Calibri" w:hAnsi="Times New Roman" w:cs="Times New Roman"/>
          <w:sz w:val="24"/>
          <w:szCs w:val="24"/>
          <w:lang w:val="en-US"/>
        </w:rPr>
        <w:t>3</w:t>
      </w:r>
      <w:r w:rsidR="00037A97" w:rsidRPr="00037A97">
        <w:rPr>
          <w:rFonts w:ascii="Times New Roman" w:eastAsia="Calibri" w:hAnsi="Times New Roman" w:cs="Times New Roman"/>
          <w:sz w:val="24"/>
          <w:szCs w:val="24"/>
          <w:vertAlign w:val="superscript"/>
          <w:lang w:val="en-US"/>
        </w:rPr>
        <w:t>rd</w:t>
      </w:r>
      <w:r w:rsidR="00037A97">
        <w:rPr>
          <w:rFonts w:ascii="Times New Roman" w:eastAsia="Calibri" w:hAnsi="Times New Roman" w:cs="Times New Roman"/>
          <w:sz w:val="24"/>
          <w:szCs w:val="24"/>
          <w:lang w:val="en-US"/>
        </w:rPr>
        <w:t>/October/1989</w:t>
      </w:r>
    </w:p>
    <w:p w14:paraId="6FE68150" w14:textId="77777777" w:rsidR="006B3217" w:rsidRDefault="006B3217" w:rsidP="00037A97">
      <w:pPr>
        <w:spacing w:after="0" w:line="240" w:lineRule="auto"/>
        <w:ind w:left="720" w:hanging="720"/>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w:t>
      </w:r>
      <w:r w:rsidR="00037A97">
        <w:rPr>
          <w:rFonts w:ascii="Times New Roman" w:eastAsia="Calibri" w:hAnsi="Times New Roman" w:cs="Times New Roman"/>
          <w:sz w:val="24"/>
          <w:szCs w:val="24"/>
          <w:lang w:val="en-US"/>
        </w:rPr>
        <w:t xml:space="preserve">Mechanical engineering, </w:t>
      </w:r>
      <w:r w:rsidRPr="00194BF9">
        <w:rPr>
          <w:rFonts w:ascii="Times New Roman" w:eastAsia="Calibri" w:hAnsi="Times New Roman" w:cs="Times New Roman"/>
          <w:sz w:val="24"/>
          <w:szCs w:val="24"/>
          <w:lang w:val="en-US"/>
        </w:rPr>
        <w:t xml:space="preserve">University of </w:t>
      </w:r>
      <w:r w:rsidR="00037A97">
        <w:rPr>
          <w:rFonts w:ascii="Times New Roman" w:eastAsia="Calibri" w:hAnsi="Times New Roman" w:cs="Times New Roman"/>
          <w:sz w:val="24"/>
          <w:szCs w:val="24"/>
          <w:lang w:val="en-US"/>
        </w:rPr>
        <w:t>Korea University of Technology and Education, Cheonan-Si, Korea</w:t>
      </w:r>
      <w:r w:rsidR="00037A97" w:rsidRPr="00194BF9">
        <w:rPr>
          <w:rFonts w:ascii="Times New Roman" w:eastAsia="Calibri" w:hAnsi="Times New Roman" w:cs="Times New Roman"/>
          <w:sz w:val="24"/>
          <w:szCs w:val="24"/>
          <w:lang w:val="en-US"/>
        </w:rPr>
        <w:t xml:space="preserve"> </w:t>
      </w:r>
    </w:p>
    <w:p w14:paraId="78FBDB3C" w14:textId="77777777" w:rsidR="00037A97" w:rsidRPr="00194BF9" w:rsidRDefault="00037A97" w:rsidP="00194BF9">
      <w:pPr>
        <w:spacing w:after="0" w:line="240" w:lineRule="auto"/>
        <w:rPr>
          <w:rFonts w:ascii="Times New Roman" w:eastAsia="Calibri" w:hAnsi="Times New Roman" w:cs="Times New Roman"/>
          <w:sz w:val="24"/>
          <w:szCs w:val="24"/>
          <w:lang w:val="en-US"/>
        </w:rPr>
      </w:pPr>
    </w:p>
    <w:p w14:paraId="711692B1" w14:textId="77777777"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10" w:history="1">
        <w:r w:rsidRPr="00194BF9">
          <w:rPr>
            <w:rStyle w:val="a5"/>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date="2020-09-10T12:15:00Z" w:initials="Editor">
    <w:p w14:paraId="7FA21CF1" w14:textId="77777777" w:rsidR="00DB4BB2" w:rsidRPr="00F762E6" w:rsidRDefault="00DB4BB2" w:rsidP="00DB4BB2">
      <w:pPr>
        <w:pStyle w:val="a7"/>
      </w:pPr>
      <w:r>
        <w:fldChar w:fldCharType="begin"/>
      </w:r>
      <w:r>
        <w:rPr>
          <w:rStyle w:val="a6"/>
        </w:rPr>
        <w:instrText xml:space="preserve"> </w:instrText>
      </w:r>
      <w:r>
        <w:instrText>PAGE \# "'Page: '#'</w:instrText>
      </w:r>
      <w:r>
        <w:br/>
        <w:instrText>'"</w:instrText>
      </w:r>
      <w:r>
        <w:rPr>
          <w:rStyle w:val="a6"/>
        </w:rPr>
        <w:instrText xml:space="preserve"> </w:instrText>
      </w:r>
      <w:r>
        <w:fldChar w:fldCharType="end"/>
      </w:r>
      <w:r>
        <w:rPr>
          <w:rStyle w:val="a6"/>
        </w:rPr>
        <w:annotationRef/>
      </w:r>
      <w:r>
        <w:t xml:space="preserve">Remark: </w:t>
      </w:r>
      <w:r w:rsidRPr="00B72CD3">
        <w:rPr>
          <w:b/>
        </w:rPr>
        <w:t>Highlights</w:t>
      </w:r>
      <w:r>
        <w:t xml:space="preserve"> are </w:t>
      </w:r>
      <w:r w:rsidRPr="00B72CD3">
        <w:rPr>
          <w:b/>
        </w:rPr>
        <w:t>mandatory</w:t>
      </w:r>
      <w:r>
        <w:t xml:space="preserve"> for the target</w:t>
      </w:r>
      <w:r w:rsidRPr="00F762E6">
        <w:t xml:space="preserve"> journal</w:t>
      </w:r>
      <w:r>
        <w:t>. They comprise</w:t>
      </w:r>
      <w:r w:rsidRPr="00F762E6">
        <w:t xml:space="preserve"> a short collection of bullet points that capture the novel results of your research as well as new methods that were </w:t>
      </w:r>
      <w:r>
        <w:t>used during the study (if any).</w:t>
      </w:r>
    </w:p>
    <w:p w14:paraId="093D4A95" w14:textId="77777777" w:rsidR="00DB4BB2" w:rsidRDefault="00DB4BB2" w:rsidP="00DB4BB2">
      <w:pPr>
        <w:pStyle w:val="a7"/>
      </w:pPr>
      <w:r w:rsidRPr="00F762E6">
        <w:t>Highlights should be submitted in a separate editable file in the online</w:t>
      </w:r>
      <w:r>
        <w:t xml:space="preserve"> submission system. Please use “Highlights”</w:t>
      </w:r>
      <w:r w:rsidRPr="00F762E6">
        <w:t xml:space="preserve"> in the file name and include 3 to 5 bullet points (maximum 85 characters, including spaces, per bullet point).</w:t>
      </w:r>
      <w:r>
        <w:t xml:space="preserve"> Examples can be found at </w:t>
      </w:r>
      <w:hyperlink r:id="rId1" w:history="1">
        <w:r w:rsidRPr="00C41992">
          <w:rPr>
            <w:rStyle w:val="a5"/>
          </w:rPr>
          <w:t>https://www.elsevier.com/authors/journal-authors/highlights</w:t>
        </w:r>
      </w:hyperlink>
      <w:r>
        <w:t xml:space="preserve"> </w:t>
      </w:r>
    </w:p>
  </w:comment>
  <w:comment w:id="1" w:author="sdh13ok@naver.com" w:date="2020-09-14T20:17:00Z" w:initials="s">
    <w:p w14:paraId="0F62E184" w14:textId="77777777" w:rsidR="00DB4BB2" w:rsidRPr="00925719" w:rsidRDefault="00DB4BB2" w:rsidP="00DB4BB2">
      <w:pPr>
        <w:pStyle w:val="a7"/>
        <w:rPr>
          <w:rFonts w:eastAsia="맑은 고딕"/>
          <w:lang w:eastAsia="ko-KR"/>
        </w:rPr>
      </w:pPr>
      <w:r>
        <w:rPr>
          <w:rStyle w:val="a6"/>
        </w:rPr>
        <w:annotationRef/>
      </w:r>
      <w:r>
        <w:rPr>
          <w:rFonts w:eastAsia="맑은 고딕" w:hint="eastAsia"/>
          <w:lang w:eastAsia="ko-KR"/>
        </w:rPr>
        <w:t>I</w:t>
      </w:r>
      <w:r>
        <w:rPr>
          <w:rFonts w:eastAsia="맑은 고딕"/>
          <w:lang w:eastAsia="ko-KR"/>
        </w:rPr>
        <w:t xml:space="preserve"> made a Highlights file in a separate editable form. Please check my Highlights file.</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93D4A95" w15:done="0"/>
  <w15:commentEx w15:paraId="0F62E184" w15:paraIdParent="093D4A95"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773808" w14:textId="77777777" w:rsidR="0042436C" w:rsidRDefault="0042436C">
      <w:pPr>
        <w:spacing w:after="0" w:line="240" w:lineRule="auto"/>
      </w:pPr>
    </w:p>
  </w:endnote>
  <w:endnote w:type="continuationSeparator" w:id="0">
    <w:p w14:paraId="3B130FAA" w14:textId="77777777" w:rsidR="0042436C" w:rsidRDefault="004243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5B91A" w14:textId="77777777" w:rsidR="0042436C" w:rsidRDefault="0042436C">
      <w:pPr>
        <w:spacing w:after="0" w:line="240" w:lineRule="auto"/>
      </w:pPr>
    </w:p>
  </w:footnote>
  <w:footnote w:type="continuationSeparator" w:id="0">
    <w:p w14:paraId="081F1CA0" w14:textId="77777777" w:rsidR="0042436C" w:rsidRDefault="0042436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DB10D0"/>
    <w:multiLevelType w:val="hybridMultilevel"/>
    <w:tmpl w:val="60BA3AC4"/>
    <w:lvl w:ilvl="0" w:tplc="D544262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dh13ok@naver.com">
    <w15:presenceInfo w15:providerId="Windows Live" w15:userId="48942aed81508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97"/>
    <w:rsid w:val="00037A97"/>
    <w:rsid w:val="00155B14"/>
    <w:rsid w:val="001753E4"/>
    <w:rsid w:val="00194BF9"/>
    <w:rsid w:val="001E09D2"/>
    <w:rsid w:val="00375B3D"/>
    <w:rsid w:val="00406069"/>
    <w:rsid w:val="0042436C"/>
    <w:rsid w:val="004267E8"/>
    <w:rsid w:val="0046369B"/>
    <w:rsid w:val="00607A26"/>
    <w:rsid w:val="00676597"/>
    <w:rsid w:val="006A4AFB"/>
    <w:rsid w:val="006B3217"/>
    <w:rsid w:val="00991B99"/>
    <w:rsid w:val="009C72EB"/>
    <w:rsid w:val="00A2285E"/>
    <w:rsid w:val="00AF2CF0"/>
    <w:rsid w:val="00BD00DD"/>
    <w:rsid w:val="00DB4BB2"/>
    <w:rsid w:val="00DF560E"/>
    <w:rsid w:val="00EB361C"/>
    <w:rsid w:val="00FA08F0"/>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96D58"/>
  <w15:docId w15:val="{2BBFEC07-35B4-488A-8ABD-FD170C74F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a4">
    <w:name w:val="Balloon Text"/>
    <w:basedOn w:val="a"/>
    <w:link w:val="Char"/>
    <w:uiPriority w:val="99"/>
    <w:semiHidden/>
    <w:unhideWhenUsed/>
    <w:rsid w:val="006B3217"/>
    <w:pPr>
      <w:spacing w:after="0" w:line="240" w:lineRule="auto"/>
    </w:pPr>
    <w:rPr>
      <w:rFonts w:ascii="Tahoma" w:hAnsi="Tahoma" w:cs="Tahoma"/>
      <w:sz w:val="16"/>
      <w:szCs w:val="16"/>
    </w:rPr>
  </w:style>
  <w:style w:type="character" w:customStyle="1" w:styleId="Char">
    <w:name w:val="풍선 도움말 텍스트 Char"/>
    <w:basedOn w:val="a0"/>
    <w:link w:val="a4"/>
    <w:uiPriority w:val="99"/>
    <w:semiHidden/>
    <w:rsid w:val="006B3217"/>
    <w:rPr>
      <w:rFonts w:ascii="Tahoma" w:hAnsi="Tahoma" w:cs="Tahoma"/>
      <w:sz w:val="16"/>
      <w:szCs w:val="16"/>
    </w:rPr>
  </w:style>
  <w:style w:type="character" w:styleId="a5">
    <w:name w:val="Hyperlink"/>
    <w:basedOn w:val="a0"/>
    <w:uiPriority w:val="99"/>
    <w:unhideWhenUsed/>
    <w:rsid w:val="006B3217"/>
    <w:rPr>
      <w:color w:val="0000FF" w:themeColor="hyperlink"/>
      <w:u w:val="single"/>
    </w:rPr>
  </w:style>
  <w:style w:type="character" w:styleId="a6">
    <w:name w:val="annotation reference"/>
    <w:basedOn w:val="a0"/>
    <w:rsid w:val="00DB4BB2"/>
    <w:rPr>
      <w:sz w:val="16"/>
      <w:szCs w:val="16"/>
    </w:rPr>
  </w:style>
  <w:style w:type="paragraph" w:styleId="a7">
    <w:name w:val="annotation text"/>
    <w:basedOn w:val="a"/>
    <w:link w:val="Char0"/>
    <w:rsid w:val="00DB4BB2"/>
    <w:pPr>
      <w:spacing w:after="0" w:line="240" w:lineRule="auto"/>
    </w:pPr>
    <w:rPr>
      <w:rFonts w:ascii="Times New Roman" w:hAnsi="Times New Roman" w:cs="Times New Roman"/>
      <w:sz w:val="20"/>
      <w:szCs w:val="20"/>
      <w:lang w:val="en-US"/>
    </w:rPr>
  </w:style>
  <w:style w:type="character" w:customStyle="1" w:styleId="Char0">
    <w:name w:val="메모 텍스트 Char"/>
    <w:basedOn w:val="a0"/>
    <w:link w:val="a7"/>
    <w:rsid w:val="00DB4BB2"/>
    <w:rPr>
      <w:rFonts w:ascii="Times New Roman" w:hAnsi="Times New Roman" w:cs="Times New Roman"/>
      <w:sz w:val="20"/>
      <w:szCs w:val="20"/>
      <w:lang w:val="en-US"/>
    </w:rPr>
  </w:style>
  <w:style w:type="paragraph" w:styleId="a8">
    <w:name w:val="header"/>
    <w:basedOn w:val="a"/>
    <w:link w:val="Char1"/>
    <w:uiPriority w:val="99"/>
    <w:unhideWhenUsed/>
    <w:rsid w:val="004267E8"/>
    <w:pPr>
      <w:tabs>
        <w:tab w:val="center" w:pos="4513"/>
        <w:tab w:val="right" w:pos="9026"/>
      </w:tabs>
      <w:snapToGrid w:val="0"/>
    </w:pPr>
  </w:style>
  <w:style w:type="character" w:customStyle="1" w:styleId="Char1">
    <w:name w:val="머리글 Char"/>
    <w:basedOn w:val="a0"/>
    <w:link w:val="a8"/>
    <w:uiPriority w:val="99"/>
    <w:rsid w:val="004267E8"/>
  </w:style>
  <w:style w:type="paragraph" w:styleId="a9">
    <w:name w:val="footer"/>
    <w:basedOn w:val="a"/>
    <w:link w:val="Char2"/>
    <w:uiPriority w:val="99"/>
    <w:unhideWhenUsed/>
    <w:rsid w:val="004267E8"/>
    <w:pPr>
      <w:tabs>
        <w:tab w:val="center" w:pos="4513"/>
        <w:tab w:val="right" w:pos="9026"/>
      </w:tabs>
      <w:snapToGrid w:val="0"/>
    </w:pPr>
  </w:style>
  <w:style w:type="character" w:customStyle="1" w:styleId="Char2">
    <w:name w:val="바닥글 Char"/>
    <w:basedOn w:val="a0"/>
    <w:link w:val="a9"/>
    <w:uiPriority w:val="99"/>
    <w:rsid w:val="00426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elsevier.com/authors/journal-authors/highlights"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amoatika@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3</Pages>
  <Words>1381</Words>
  <Characters>7872</Characters>
  <Application>Microsoft Office Word</Application>
  <DocSecurity>0</DocSecurity>
  <Lines>65</Lines>
  <Paragraphs>18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sdh13ok@naver.com</cp:lastModifiedBy>
  <cp:revision>6</cp:revision>
  <dcterms:created xsi:type="dcterms:W3CDTF">2021-01-19T08:41:00Z</dcterms:created>
  <dcterms:modified xsi:type="dcterms:W3CDTF">2021-01-20T02:14:00Z</dcterms:modified>
</cp:coreProperties>
</file>