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F7C43" w14:textId="50393DFF" w:rsidR="003916BC" w:rsidRDefault="003916BC" w:rsidP="003916BC">
      <w:r>
        <w:t>Abstract</w:t>
      </w:r>
    </w:p>
    <w:p w14:paraId="0CF65363" w14:textId="60E9AD41" w:rsidR="003916BC" w:rsidRDefault="003916BC" w:rsidP="003916BC"/>
    <w:p w14:paraId="7FA86F39" w14:textId="5C6AD215" w:rsidR="003916BC" w:rsidRDefault="003916BC" w:rsidP="003916BC">
      <w:r>
        <w:t xml:space="preserve">Factors Affecting Downstream Profitability of Geothermal Power </w:t>
      </w:r>
      <w:r w:rsidR="005F0BED">
        <w:t>P</w:t>
      </w:r>
      <w:r>
        <w:t>lants</w:t>
      </w:r>
    </w:p>
    <w:p w14:paraId="0DAE1D38" w14:textId="77777777" w:rsidR="003916BC" w:rsidRDefault="003916BC" w:rsidP="003916BC"/>
    <w:p w14:paraId="74913AFB" w14:textId="16E76D57" w:rsidR="009E6DB3" w:rsidRDefault="009E6DB3" w:rsidP="003916BC">
      <w:r>
        <w:t xml:space="preserve">More commonly than not, the </w:t>
      </w:r>
      <w:r w:rsidR="003916BC">
        <w:t xml:space="preserve">projected </w:t>
      </w:r>
      <w:r>
        <w:t>power output and</w:t>
      </w:r>
      <w:r w:rsidRPr="008C424F">
        <w:t xml:space="preserve"> subsequent profitability of </w:t>
      </w:r>
      <w:r>
        <w:t>a geothermal power</w:t>
      </w:r>
      <w:r w:rsidRPr="008C424F">
        <w:t xml:space="preserve"> plant is based on data taken from the feasibility study provided to the project’s lenders during the exploratory stage of the project. </w:t>
      </w:r>
      <w:r>
        <w:t>It</w:t>
      </w:r>
      <w:r w:rsidRPr="008C424F">
        <w:t xml:space="preserve"> is important to note that</w:t>
      </w:r>
      <w:r>
        <w:t xml:space="preserve"> due to the slow uptake in</w:t>
      </w:r>
      <w:r w:rsidRPr="008C424F">
        <w:t xml:space="preserve"> </w:t>
      </w:r>
      <w:r>
        <w:t>large scale</w:t>
      </w:r>
      <w:r w:rsidRPr="008C424F">
        <w:t xml:space="preserve"> geothermal power generation</w:t>
      </w:r>
      <w:r>
        <w:t xml:space="preserve">, </w:t>
      </w:r>
      <w:r w:rsidRPr="008C424F">
        <w:t xml:space="preserve">current studies rely on </w:t>
      </w:r>
      <w:r>
        <w:t>methodology taken from</w:t>
      </w:r>
      <w:r w:rsidRPr="008C424F">
        <w:t xml:space="preserve"> other industries</w:t>
      </w:r>
      <w:r w:rsidR="003916BC">
        <w:t xml:space="preserve"> </w:t>
      </w:r>
      <w:r>
        <w:t>for estimating downstream profitability</w:t>
      </w:r>
      <w:r w:rsidRPr="008C424F">
        <w:t xml:space="preserve">. Furthermore, due to the upfront investment risks in geothermal power plants, it </w:t>
      </w:r>
      <w:r>
        <w:t>is largely accepted</w:t>
      </w:r>
      <w:r w:rsidRPr="008C424F">
        <w:t xml:space="preserve"> that the main purpose of a feasibility study is to build a business case for funding support from private, public, or institutional bodies. A feasibility study also acts to guide the internal business decisions of a project’s owners in order to mitigate financial risk. For this purpose, the risk profile summari</w:t>
      </w:r>
      <w:r w:rsidR="00764E2F">
        <w:t>z</w:t>
      </w:r>
      <w:r w:rsidRPr="008C424F">
        <w:t>ed in a feasibility study is constantly evolving from the planning stages through to completion of the project’s financing</w:t>
      </w:r>
      <w:r>
        <w:t xml:space="preserve"> and data collected at one point in this process cannot be considered final. In this paper I present the various post-feasibility study factors that directly affect the profitability of a geothermal power plant. This includes</w:t>
      </w:r>
      <w:r w:rsidR="009F6D95">
        <w:t>, but is not limited to;</w:t>
      </w:r>
      <w:r>
        <w:t xml:space="preserve"> </w:t>
      </w:r>
      <w:r w:rsidR="009F6D95">
        <w:t xml:space="preserve">projected well production, </w:t>
      </w:r>
      <w:r>
        <w:t>ambient temperature</w:t>
      </w:r>
      <w:r w:rsidR="009F6D95">
        <w:t>, internal consumption, plant availability and government pricing legislation.</w:t>
      </w:r>
    </w:p>
    <w:sectPr w:rsidR="009E6DB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794EA" w14:textId="77777777" w:rsidR="00FA073B" w:rsidRDefault="00FA073B" w:rsidP="009E6DB3">
      <w:pPr>
        <w:spacing w:after="0" w:line="240" w:lineRule="auto"/>
      </w:pPr>
      <w:r>
        <w:separator/>
      </w:r>
    </w:p>
  </w:endnote>
  <w:endnote w:type="continuationSeparator" w:id="0">
    <w:p w14:paraId="75AB3676" w14:textId="77777777" w:rsidR="00FA073B" w:rsidRDefault="00FA073B" w:rsidP="009E6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E4ED9" w14:textId="77777777" w:rsidR="00FA073B" w:rsidRDefault="00FA073B" w:rsidP="009E6DB3">
      <w:pPr>
        <w:spacing w:after="0" w:line="240" w:lineRule="auto"/>
      </w:pPr>
      <w:r>
        <w:separator/>
      </w:r>
    </w:p>
  </w:footnote>
  <w:footnote w:type="continuationSeparator" w:id="0">
    <w:p w14:paraId="73B72DD1" w14:textId="77777777" w:rsidR="00FA073B" w:rsidRDefault="00FA073B" w:rsidP="009E6D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8F38F8"/>
    <w:multiLevelType w:val="multilevel"/>
    <w:tmpl w:val="7256DE70"/>
    <w:lvl w:ilvl="0">
      <w:start w:val="1"/>
      <w:numFmt w:val="decimal"/>
      <w:pStyle w:val="Heading1"/>
      <w:lvlText w:val="%1.0"/>
      <w:lvlJc w:val="left"/>
      <w:pPr>
        <w:tabs>
          <w:tab w:val="num" w:pos="1049"/>
        </w:tabs>
        <w:ind w:left="1049" w:hanging="907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617"/>
        </w:tabs>
        <w:ind w:left="1617" w:hanging="90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BodyText"/>
      <w:lvlText w:val="%1.%2.%3"/>
      <w:lvlJc w:val="left"/>
      <w:pPr>
        <w:tabs>
          <w:tab w:val="num" w:pos="907"/>
        </w:tabs>
        <w:ind w:left="907" w:hanging="90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Restart w:val="2"/>
      <w:lvlText w:val="%1.%4"/>
      <w:lvlJc w:val="left"/>
      <w:pPr>
        <w:tabs>
          <w:tab w:val="num" w:pos="680"/>
        </w:tabs>
        <w:ind w:left="851" w:hanging="851"/>
      </w:pPr>
      <w:rPr>
        <w:rFonts w:hint="default"/>
        <w:b w:val="0"/>
        <w:i w:val="0"/>
      </w:rPr>
    </w:lvl>
    <w:lvl w:ilvl="4">
      <w:start w:val="1"/>
      <w:numFmt w:val="none"/>
      <w:lvlRestart w:val="3"/>
      <w:lvlText w:val="%1.%2.%5"/>
      <w:lvlJc w:val="left"/>
      <w:pPr>
        <w:tabs>
          <w:tab w:val="num" w:pos="794"/>
        </w:tabs>
        <w:ind w:left="851" w:hanging="851"/>
      </w:pPr>
      <w:rPr>
        <w:rFonts w:hint="default"/>
      </w:rPr>
    </w:lvl>
    <w:lvl w:ilvl="5">
      <w:start w:val="1"/>
      <w:numFmt w:val="none"/>
      <w:lvlRestart w:val="4"/>
      <w:lvlText w:val="%1.%2.%3.%6"/>
      <w:lvlJc w:val="left"/>
      <w:pPr>
        <w:tabs>
          <w:tab w:val="num" w:pos="794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num w:numId="1" w16cid:durableId="207034218">
    <w:abstractNumId w:val="0"/>
  </w:num>
  <w:num w:numId="2" w16cid:durableId="2098597494">
    <w:abstractNumId w:val="0"/>
    <w:lvlOverride w:ilvl="0">
      <w:startOverride w:val="3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DB3"/>
    <w:rsid w:val="003916BC"/>
    <w:rsid w:val="005F0BED"/>
    <w:rsid w:val="00764E2F"/>
    <w:rsid w:val="009E6DB3"/>
    <w:rsid w:val="009F6D95"/>
    <w:rsid w:val="00B521E9"/>
    <w:rsid w:val="00FA073B"/>
    <w:rsid w:val="00FE0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D76DF"/>
  <w15:chartTrackingRefBased/>
  <w15:docId w15:val="{1FB33FB7-00A9-4824-8E20-B7937DDD2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Heading3"/>
    <w:link w:val="Heading1Char"/>
    <w:uiPriority w:val="1"/>
    <w:qFormat/>
    <w:rsid w:val="009E6DB3"/>
    <w:pPr>
      <w:keepNext/>
      <w:numPr>
        <w:numId w:val="1"/>
      </w:numPr>
      <w:tabs>
        <w:tab w:val="left" w:pos="709"/>
      </w:tabs>
      <w:spacing w:before="240" w:after="240" w:line="360" w:lineRule="auto"/>
      <w:jc w:val="both"/>
      <w:outlineLvl w:val="0"/>
    </w:pPr>
    <w:rPr>
      <w:rFonts w:ascii="Verdana" w:eastAsia="Times New Roman" w:hAnsi="Verdana" w:cs="Arial"/>
      <w:b/>
      <w:color w:val="000000" w:themeColor="text1"/>
      <w:kern w:val="32"/>
      <w:sz w:val="18"/>
      <w:lang w:val="en-GB" w:eastAsia="en-GB"/>
    </w:rPr>
  </w:style>
  <w:style w:type="paragraph" w:styleId="Heading2">
    <w:name w:val="heading 2"/>
    <w:next w:val="BodyText"/>
    <w:link w:val="Heading2Char"/>
    <w:uiPriority w:val="1"/>
    <w:qFormat/>
    <w:rsid w:val="009E6DB3"/>
    <w:pPr>
      <w:widowControl w:val="0"/>
      <w:numPr>
        <w:ilvl w:val="1"/>
        <w:numId w:val="1"/>
      </w:numPr>
      <w:spacing w:before="360" w:after="240" w:line="360" w:lineRule="auto"/>
      <w:outlineLvl w:val="1"/>
    </w:pPr>
    <w:rPr>
      <w:rFonts w:ascii="Verdana" w:eastAsia="Times New Roman" w:hAnsi="Verdana" w:cs="Arial"/>
      <w:b/>
      <w:iCs/>
      <w:kern w:val="32"/>
      <w:sz w:val="18"/>
      <w:szCs w:val="28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6DB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E6DB3"/>
    <w:rPr>
      <w:rFonts w:ascii="Verdana" w:eastAsia="Times New Roman" w:hAnsi="Verdana" w:cs="Arial"/>
      <w:b/>
      <w:color w:val="000000" w:themeColor="text1"/>
      <w:kern w:val="32"/>
      <w:sz w:val="18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1"/>
    <w:rsid w:val="009E6DB3"/>
    <w:rPr>
      <w:rFonts w:ascii="Verdana" w:eastAsia="Times New Roman" w:hAnsi="Verdana" w:cs="Arial"/>
      <w:b/>
      <w:iCs/>
      <w:kern w:val="32"/>
      <w:sz w:val="18"/>
      <w:szCs w:val="28"/>
      <w:lang w:val="en-GB" w:eastAsia="en-GB"/>
    </w:rPr>
  </w:style>
  <w:style w:type="paragraph" w:styleId="BodyText">
    <w:name w:val="Body Text"/>
    <w:basedOn w:val="Normal"/>
    <w:link w:val="BodyTextChar"/>
    <w:uiPriority w:val="1"/>
    <w:qFormat/>
    <w:rsid w:val="009E6DB3"/>
    <w:pPr>
      <w:widowControl w:val="0"/>
      <w:numPr>
        <w:ilvl w:val="2"/>
        <w:numId w:val="1"/>
      </w:numPr>
      <w:spacing w:before="160" w:after="60" w:line="360" w:lineRule="auto"/>
      <w:jc w:val="both"/>
    </w:pPr>
    <w:rPr>
      <w:rFonts w:ascii="Verdana" w:eastAsia="Times New Roman" w:hAnsi="Verdana" w:cs="Arial"/>
      <w:kern w:val="32"/>
      <w:sz w:val="18"/>
      <w:szCs w:val="20"/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9E6DB3"/>
    <w:rPr>
      <w:rFonts w:ascii="Verdana" w:eastAsia="Times New Roman" w:hAnsi="Verdana" w:cs="Arial"/>
      <w:kern w:val="32"/>
      <w:sz w:val="18"/>
      <w:szCs w:val="20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unhideWhenUsed/>
    <w:rsid w:val="009E6DB3"/>
    <w:pPr>
      <w:spacing w:after="0" w:line="240" w:lineRule="auto"/>
    </w:pPr>
    <w:rPr>
      <w:rFonts w:ascii="Verdana" w:eastAsia="Calibri" w:hAnsi="Verdana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E6DB3"/>
    <w:rPr>
      <w:rFonts w:ascii="Verdana" w:eastAsia="Calibri" w:hAnsi="Verdana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9E6DB3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6DB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Bernardo</dc:creator>
  <cp:keywords/>
  <dc:description/>
  <cp:lastModifiedBy>Darren Bernardo</cp:lastModifiedBy>
  <cp:revision>3</cp:revision>
  <dcterms:created xsi:type="dcterms:W3CDTF">2022-12-07T15:57:00Z</dcterms:created>
  <dcterms:modified xsi:type="dcterms:W3CDTF">2022-12-07T20:18:00Z</dcterms:modified>
</cp:coreProperties>
</file>