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4EABB" w14:textId="2A5925A4" w:rsidR="00AE3E37" w:rsidRDefault="00B12E85" w:rsidP="00494130">
      <w:pPr>
        <w:pStyle w:val="Heading1"/>
        <w:spacing w:before="170"/>
        <w:ind w:left="0"/>
      </w:pPr>
      <w:r>
        <w:rPr>
          <w:color w:val="337AB7"/>
        </w:rPr>
        <w:t>Anemia of Chronic Kidney disease</w:t>
      </w:r>
      <w:r w:rsidR="00A9710C">
        <w:rPr>
          <w:color w:val="337AB7"/>
        </w:rPr>
        <w:t xml:space="preserve">: </w:t>
      </w:r>
      <w:r>
        <w:rPr>
          <w:color w:val="337AB7"/>
        </w:rPr>
        <w:t>An Overview</w:t>
      </w:r>
    </w:p>
    <w:p w14:paraId="5F3DC227" w14:textId="766ED4A9" w:rsidR="005973B9" w:rsidRDefault="00B12E8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Ali AlSahow. MD, FRCP(C), FASN</w:t>
      </w:r>
      <w:r>
        <w:rPr>
          <w:rFonts w:ascii="Arial"/>
        </w:rPr>
        <w:br/>
        <w:t>Head of Nephrology Division, Jahra Hospital</w:t>
      </w:r>
    </w:p>
    <w:p w14:paraId="5F4E312D" w14:textId="77777777" w:rsidR="00AE3E37" w:rsidRDefault="00AE3E37">
      <w:pPr>
        <w:pStyle w:val="BodyText"/>
        <w:rPr>
          <w:rFonts w:ascii="Arial"/>
          <w:sz w:val="20"/>
        </w:rPr>
      </w:pPr>
    </w:p>
    <w:p w14:paraId="55C1717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92B1EE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64D45A2" w14:textId="3BCB14D8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5D7516DD" w14:textId="2EE5C620" w:rsidR="00AE3E37" w:rsidRDefault="001751EF" w:rsidP="001751EF">
      <w:pPr>
        <w:pStyle w:val="BodyText"/>
        <w:spacing w:before="90" w:line="280" w:lineRule="auto"/>
        <w:ind w:left="100"/>
        <w:jc w:val="both"/>
      </w:pPr>
      <w:r w:rsidRPr="001751EF">
        <w:t xml:space="preserve">Anemia of CKD is One of the most </w:t>
      </w:r>
      <w:r>
        <w:t xml:space="preserve">common and </w:t>
      </w:r>
      <w:r w:rsidRPr="001751EF">
        <w:t>significant complications of CKD</w:t>
      </w:r>
      <w:r>
        <w:t xml:space="preserve"> with complex pathophysiology. Management has evolved significantly, with improved understanding of the pathophysiology. There has been progress in the use of iron therapy</w:t>
      </w:r>
      <w:r w:rsidR="00872F01">
        <w:t xml:space="preserve"> (oral and intravenous)</w:t>
      </w:r>
      <w:r>
        <w:t xml:space="preserve"> and erythropoiesis stimulating agents for the treatment of anemia</w:t>
      </w:r>
      <w:r w:rsidR="00872F01">
        <w:t xml:space="preserve"> in both dialysis independent and dialysis dependent CKD, and we will review these </w:t>
      </w:r>
      <w:r>
        <w:t>. There also has been some exciting new development</w:t>
      </w:r>
      <w:r w:rsidR="00872F01">
        <w:t>s in terms of availability of oral hypoxia inducible factor stabilizers that has been approved in some countries, and in terms of progress in the management of anemia of inflammation, which is a major contributory factor in the development of anemia of CKD, and its resistance to therap. We will also review these developments.</w:t>
      </w:r>
    </w:p>
    <w:p w14:paraId="6FFB1345" w14:textId="1F625153" w:rsidR="00AE3E37" w:rsidRDefault="00FC047A">
      <w:pPr>
        <w:pStyle w:val="Heading3"/>
        <w:spacing w:before="74"/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35FE587C" wp14:editId="254DC357">
            <wp:simplePos x="0" y="0"/>
            <wp:positionH relativeFrom="column">
              <wp:posOffset>-41275</wp:posOffset>
            </wp:positionH>
            <wp:positionV relativeFrom="paragraph">
              <wp:posOffset>45720</wp:posOffset>
            </wp:positionV>
            <wp:extent cx="3165475" cy="1489710"/>
            <wp:effectExtent l="0" t="0" r="0" b="0"/>
            <wp:wrapTight wrapText="bothSides">
              <wp:wrapPolygon edited="0">
                <wp:start x="0" y="0"/>
                <wp:lineTo x="0" y="21269"/>
                <wp:lineTo x="21448" y="21269"/>
                <wp:lineTo x="21448" y="0"/>
                <wp:lineTo x="0" y="0"/>
              </wp:wrapPolygon>
            </wp:wrapTight>
            <wp:docPr id="3" name="Picture 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schematic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047A">
        <w:drawing>
          <wp:anchor distT="0" distB="0" distL="114300" distR="114300" simplePos="0" relativeHeight="251668992" behindDoc="1" locked="0" layoutInCell="1" allowOverlap="1" wp14:anchorId="54B8988A" wp14:editId="2A966084">
            <wp:simplePos x="0" y="0"/>
            <wp:positionH relativeFrom="column">
              <wp:posOffset>-60325</wp:posOffset>
            </wp:positionH>
            <wp:positionV relativeFrom="paragraph">
              <wp:posOffset>1535430</wp:posOffset>
            </wp:positionV>
            <wp:extent cx="3165475" cy="2326005"/>
            <wp:effectExtent l="0" t="0" r="0" b="0"/>
            <wp:wrapTight wrapText="bothSides">
              <wp:wrapPolygon edited="0">
                <wp:start x="0" y="0"/>
                <wp:lineTo x="0" y="21405"/>
                <wp:lineTo x="21448" y="21405"/>
                <wp:lineTo x="21448" y="0"/>
                <wp:lineTo x="0" y="0"/>
              </wp:wrapPolygon>
            </wp:wrapTight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0E1F28FE" w14:textId="0BCBADF8" w:rsidR="00AE3E37" w:rsidRDefault="00FC047A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B20A95D" wp14:editId="51DF1476">
            <wp:extent cx="2097046" cy="16846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652" cy="1701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74538A" w14:textId="775E35DB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B12E85">
        <w:rPr>
          <w:rFonts w:ascii="Arial"/>
          <w:b/>
          <w:color w:val="BF5A14"/>
          <w:sz w:val="20"/>
        </w:rPr>
        <w:t>Recommended Reading:</w:t>
      </w:r>
    </w:p>
    <w:p w14:paraId="2A0B48BF" w14:textId="370D778D" w:rsidR="00B12E85" w:rsidRPr="00B12E85" w:rsidRDefault="00B12E85" w:rsidP="00B12E85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proofErr w:type="spellStart"/>
      <w:r w:rsidRPr="00B12E85">
        <w:rPr>
          <w:rFonts w:ascii="Calibri" w:eastAsia="Calibri" w:hAnsi="Calibri" w:cs="Calibri"/>
          <w:szCs w:val="22"/>
        </w:rPr>
        <w:t>Portoles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J, Martin L, </w:t>
      </w:r>
      <w:proofErr w:type="spellStart"/>
      <w:r w:rsidRPr="00B12E85">
        <w:rPr>
          <w:rFonts w:ascii="Calibri" w:eastAsia="Calibri" w:hAnsi="Calibri" w:cs="Calibri"/>
          <w:szCs w:val="22"/>
        </w:rPr>
        <w:t>Broseta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J, Cases A. Anemia in Chronic Kidney Disease: </w:t>
      </w:r>
      <w:r w:rsidR="001751EF" w:rsidRPr="00B12E85">
        <w:rPr>
          <w:rFonts w:ascii="Calibri" w:eastAsia="Calibri" w:hAnsi="Calibri" w:cs="Calibri"/>
          <w:szCs w:val="22"/>
        </w:rPr>
        <w:t>From Pathophysiology and Current Treatments</w:t>
      </w:r>
      <w:r w:rsidRPr="00B12E85">
        <w:rPr>
          <w:rFonts w:ascii="Calibri" w:eastAsia="Calibri" w:hAnsi="Calibri" w:cs="Calibri"/>
          <w:szCs w:val="22"/>
        </w:rPr>
        <w:t xml:space="preserve"> to Future Agents. </w:t>
      </w:r>
      <w:proofErr w:type="spellStart"/>
      <w:r w:rsidRPr="00B12E85">
        <w:rPr>
          <w:rFonts w:ascii="Calibri" w:eastAsia="Calibri" w:hAnsi="Calibri" w:cs="Calibri"/>
          <w:szCs w:val="22"/>
        </w:rPr>
        <w:t>Fron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Med. (2021) 8:642296</w:t>
      </w:r>
    </w:p>
    <w:p w14:paraId="0DF291DF" w14:textId="77777777" w:rsidR="00B12E85" w:rsidRPr="00B12E85" w:rsidRDefault="00B12E85" w:rsidP="001751EF">
      <w:pPr>
        <w:pStyle w:val="BodyText"/>
        <w:spacing w:before="80" w:line="200" w:lineRule="exact"/>
        <w:ind w:left="389" w:right="144" w:hanging="288"/>
        <w:jc w:val="both"/>
        <w:rPr>
          <w:rFonts w:ascii="Calibri" w:eastAsia="Calibri" w:hAnsi="Calibri" w:cs="Calibri"/>
          <w:szCs w:val="22"/>
        </w:rPr>
      </w:pPr>
      <w:r w:rsidRPr="00B12E85">
        <w:rPr>
          <w:rFonts w:ascii="Calibri" w:eastAsia="Calibri" w:hAnsi="Calibri" w:cs="Calibri"/>
          <w:szCs w:val="22"/>
        </w:rPr>
        <w:t xml:space="preserve">Santos EJF, Dias RSC, Lima JFB, Salgado Filho N, Miranda Dos Santos A. Erythropoietin Resistance in Patients with Chronic Kidney Disease: Current Perspectives. Int J Nephrol </w:t>
      </w:r>
      <w:proofErr w:type="spellStart"/>
      <w:r w:rsidRPr="00B12E85">
        <w:rPr>
          <w:rFonts w:ascii="Calibri" w:eastAsia="Calibri" w:hAnsi="Calibri" w:cs="Calibri"/>
          <w:szCs w:val="22"/>
        </w:rPr>
        <w:t>Renovasc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Dis. 2020 Oct 8;13:231-237.</w:t>
      </w:r>
    </w:p>
    <w:p w14:paraId="2DD2C5C2" w14:textId="20278C0A" w:rsidR="00B12E85" w:rsidRPr="00B12E85" w:rsidRDefault="00B12E85" w:rsidP="001751EF">
      <w:pPr>
        <w:pStyle w:val="BodyText"/>
        <w:spacing w:before="80" w:line="200" w:lineRule="exact"/>
        <w:ind w:left="389" w:right="144" w:hanging="288"/>
        <w:jc w:val="both"/>
        <w:rPr>
          <w:rFonts w:ascii="Calibri" w:eastAsia="Calibri" w:hAnsi="Calibri" w:cs="Calibri"/>
          <w:szCs w:val="22"/>
        </w:rPr>
      </w:pPr>
      <w:proofErr w:type="spellStart"/>
      <w:r w:rsidRPr="00B12E85">
        <w:rPr>
          <w:rFonts w:ascii="Calibri" w:eastAsia="Calibri" w:hAnsi="Calibri" w:cs="Calibri"/>
          <w:szCs w:val="22"/>
        </w:rPr>
        <w:t>Gluba-Brzózka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A, </w:t>
      </w:r>
      <w:proofErr w:type="spellStart"/>
      <w:r w:rsidRPr="00B12E85">
        <w:rPr>
          <w:rFonts w:ascii="Calibri" w:eastAsia="Calibri" w:hAnsi="Calibri" w:cs="Calibri"/>
          <w:szCs w:val="22"/>
        </w:rPr>
        <w:t>Franczyk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B, Olszewski R, </w:t>
      </w:r>
      <w:proofErr w:type="spellStart"/>
      <w:r w:rsidRPr="00B12E85">
        <w:rPr>
          <w:rFonts w:ascii="Calibri" w:eastAsia="Calibri" w:hAnsi="Calibri" w:cs="Calibri"/>
          <w:szCs w:val="22"/>
        </w:rPr>
        <w:t>Rysz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J. The Influence of Inflammation on Anemia in CKD Patients. Int J Mol Sci. 2020 Jan 22;21(3):725.</w:t>
      </w:r>
    </w:p>
    <w:p w14:paraId="09F965FB" w14:textId="77777777" w:rsidR="00B12E85" w:rsidRPr="00B12E85" w:rsidRDefault="00B12E85" w:rsidP="001751EF">
      <w:pPr>
        <w:pStyle w:val="BodyText"/>
        <w:spacing w:before="80" w:line="200" w:lineRule="exact"/>
        <w:ind w:left="389" w:right="144" w:hanging="288"/>
        <w:jc w:val="both"/>
        <w:rPr>
          <w:rFonts w:ascii="Calibri" w:eastAsia="Calibri" w:hAnsi="Calibri" w:cs="Calibri"/>
          <w:szCs w:val="22"/>
        </w:rPr>
      </w:pPr>
      <w:r w:rsidRPr="00B12E85">
        <w:rPr>
          <w:rFonts w:ascii="Calibri" w:eastAsia="Calibri" w:hAnsi="Calibri" w:cs="Calibri"/>
          <w:szCs w:val="22"/>
        </w:rPr>
        <w:t xml:space="preserve">Ganz T. Anemia of Inflammation. N </w:t>
      </w:r>
      <w:proofErr w:type="spellStart"/>
      <w:r w:rsidRPr="00B12E85">
        <w:rPr>
          <w:rFonts w:ascii="Calibri" w:eastAsia="Calibri" w:hAnsi="Calibri" w:cs="Calibri"/>
          <w:szCs w:val="22"/>
        </w:rPr>
        <w:t>Engl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J Med 2019; 381:1148-1157</w:t>
      </w:r>
    </w:p>
    <w:p w14:paraId="3FC9F662" w14:textId="65656E0F" w:rsidR="00B12E85" w:rsidRPr="00B12E85" w:rsidRDefault="00B12E85" w:rsidP="001751EF">
      <w:pPr>
        <w:pStyle w:val="BodyText"/>
        <w:spacing w:before="80" w:line="200" w:lineRule="exact"/>
        <w:ind w:left="389" w:right="144" w:hanging="288"/>
        <w:jc w:val="both"/>
        <w:rPr>
          <w:rFonts w:ascii="Calibri" w:eastAsia="Calibri" w:hAnsi="Calibri" w:cs="Calibri"/>
          <w:szCs w:val="22"/>
        </w:rPr>
      </w:pPr>
      <w:proofErr w:type="spellStart"/>
      <w:r w:rsidRPr="00B12E85">
        <w:rPr>
          <w:rFonts w:ascii="Calibri" w:eastAsia="Calibri" w:hAnsi="Calibri" w:cs="Calibri"/>
          <w:szCs w:val="22"/>
        </w:rPr>
        <w:t>Babitt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JL, </w:t>
      </w:r>
      <w:proofErr w:type="spellStart"/>
      <w:r w:rsidRPr="00B12E85">
        <w:rPr>
          <w:rFonts w:ascii="Calibri" w:eastAsia="Calibri" w:hAnsi="Calibri" w:cs="Calibri"/>
          <w:szCs w:val="22"/>
        </w:rPr>
        <w:t>Eisenga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MF, </w:t>
      </w:r>
      <w:proofErr w:type="spellStart"/>
      <w:r w:rsidRPr="00B12E85">
        <w:rPr>
          <w:rFonts w:ascii="Calibri" w:eastAsia="Calibri" w:hAnsi="Calibri" w:cs="Calibri"/>
          <w:szCs w:val="22"/>
        </w:rPr>
        <w:t>Haase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VH, </w:t>
      </w:r>
      <w:proofErr w:type="spellStart"/>
      <w:r w:rsidRPr="00B12E85">
        <w:rPr>
          <w:rFonts w:ascii="Calibri" w:eastAsia="Calibri" w:hAnsi="Calibri" w:cs="Calibri"/>
          <w:szCs w:val="22"/>
        </w:rPr>
        <w:t>Kshirsagar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AV, Levin A, Locatelli F, </w:t>
      </w:r>
      <w:proofErr w:type="spellStart"/>
      <w:r w:rsidRPr="00B12E85">
        <w:rPr>
          <w:rFonts w:ascii="Calibri" w:eastAsia="Calibri" w:hAnsi="Calibri" w:cs="Calibri"/>
          <w:szCs w:val="22"/>
        </w:rPr>
        <w:t>Małyszko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J, Swinkels DW, </w:t>
      </w:r>
      <w:proofErr w:type="spellStart"/>
      <w:r w:rsidRPr="00B12E85">
        <w:rPr>
          <w:rFonts w:ascii="Calibri" w:eastAsia="Calibri" w:hAnsi="Calibri" w:cs="Calibri"/>
          <w:szCs w:val="22"/>
        </w:rPr>
        <w:t>Tarng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DC, Cheung M, </w:t>
      </w:r>
      <w:proofErr w:type="spellStart"/>
      <w:r w:rsidRPr="00B12E85">
        <w:rPr>
          <w:rFonts w:ascii="Calibri" w:eastAsia="Calibri" w:hAnsi="Calibri" w:cs="Calibri"/>
          <w:szCs w:val="22"/>
        </w:rPr>
        <w:t>Jadoul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M, </w:t>
      </w:r>
      <w:proofErr w:type="spellStart"/>
      <w:r w:rsidRPr="00B12E85">
        <w:rPr>
          <w:rFonts w:ascii="Calibri" w:eastAsia="Calibri" w:hAnsi="Calibri" w:cs="Calibri"/>
          <w:szCs w:val="22"/>
        </w:rPr>
        <w:t>Winkelmayer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WC, </w:t>
      </w:r>
      <w:proofErr w:type="spellStart"/>
      <w:r w:rsidRPr="00B12E85">
        <w:rPr>
          <w:rFonts w:ascii="Calibri" w:eastAsia="Calibri" w:hAnsi="Calibri" w:cs="Calibri"/>
          <w:szCs w:val="22"/>
        </w:rPr>
        <w:t>Drüeke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TB; Conference Participants. Controversies in optimal anemia management: conclusions from a Kidney Disease: Improving Global Outcomes (KDIGO) Conference. Kidney Int. 2021 Jun;99(6):1280-1295.</w:t>
      </w:r>
    </w:p>
    <w:p w14:paraId="41FDE588" w14:textId="77777777" w:rsidR="00B12E85" w:rsidRPr="00B12E85" w:rsidRDefault="00B12E85" w:rsidP="001751EF">
      <w:pPr>
        <w:pStyle w:val="BodyText"/>
        <w:spacing w:before="80" w:line="200" w:lineRule="exact"/>
        <w:ind w:left="389" w:right="144" w:hanging="288"/>
        <w:jc w:val="both"/>
        <w:rPr>
          <w:rFonts w:ascii="Calibri" w:eastAsia="Calibri" w:hAnsi="Calibri" w:cs="Calibri"/>
          <w:szCs w:val="22"/>
        </w:rPr>
      </w:pPr>
      <w:r w:rsidRPr="00B12E85">
        <w:rPr>
          <w:rFonts w:ascii="Calibri" w:eastAsia="Calibri" w:hAnsi="Calibri" w:cs="Calibri"/>
          <w:szCs w:val="22"/>
        </w:rPr>
        <w:t xml:space="preserve">Hanna R, </w:t>
      </w:r>
      <w:proofErr w:type="spellStart"/>
      <w:r w:rsidRPr="00B12E85">
        <w:rPr>
          <w:rFonts w:ascii="Calibri" w:eastAsia="Calibri" w:hAnsi="Calibri" w:cs="Calibri"/>
          <w:szCs w:val="22"/>
        </w:rPr>
        <w:t>Steja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E, </w:t>
      </w:r>
      <w:proofErr w:type="spellStart"/>
      <w:r w:rsidRPr="00B12E85">
        <w:rPr>
          <w:rFonts w:ascii="Calibri" w:eastAsia="Calibri" w:hAnsi="Calibri" w:cs="Calibri"/>
          <w:szCs w:val="22"/>
        </w:rPr>
        <w:t>Kalantar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Zadeh K. Burden of Anemia in Chronic Kidney Disease: Beyond Erythropoietin. Adv </w:t>
      </w:r>
      <w:proofErr w:type="spellStart"/>
      <w:r w:rsidRPr="00B12E85">
        <w:rPr>
          <w:rFonts w:ascii="Calibri" w:eastAsia="Calibri" w:hAnsi="Calibri" w:cs="Calibri"/>
          <w:szCs w:val="22"/>
        </w:rPr>
        <w:t>Ther</w:t>
      </w:r>
      <w:proofErr w:type="spellEnd"/>
      <w:r w:rsidRPr="00B12E85">
        <w:rPr>
          <w:rFonts w:ascii="Calibri" w:eastAsia="Calibri" w:hAnsi="Calibri" w:cs="Calibri"/>
          <w:szCs w:val="22"/>
        </w:rPr>
        <w:t>. 2021:38(1):52-75</w:t>
      </w:r>
    </w:p>
    <w:p w14:paraId="445B5EFC" w14:textId="77777777" w:rsidR="00B12E85" w:rsidRPr="00B12E85" w:rsidRDefault="00B12E85" w:rsidP="001751EF">
      <w:pPr>
        <w:pStyle w:val="BodyText"/>
        <w:spacing w:before="80" w:line="200" w:lineRule="exact"/>
        <w:ind w:left="389" w:right="144" w:hanging="288"/>
        <w:jc w:val="both"/>
        <w:rPr>
          <w:rFonts w:ascii="Calibri" w:eastAsia="Calibri" w:hAnsi="Calibri" w:cs="Calibri"/>
          <w:szCs w:val="22"/>
        </w:rPr>
      </w:pPr>
      <w:r w:rsidRPr="00B12E85">
        <w:rPr>
          <w:rFonts w:ascii="Calibri" w:eastAsia="Calibri" w:hAnsi="Calibri" w:cs="Calibri"/>
          <w:szCs w:val="22"/>
        </w:rPr>
        <w:t xml:space="preserve">Batchelor EK, </w:t>
      </w:r>
      <w:proofErr w:type="spellStart"/>
      <w:r w:rsidRPr="00B12E85">
        <w:rPr>
          <w:rFonts w:ascii="Calibri" w:eastAsia="Calibri" w:hAnsi="Calibri" w:cs="Calibri"/>
          <w:szCs w:val="22"/>
        </w:rPr>
        <w:t>Kapitsinou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P, Pergola PE, </w:t>
      </w:r>
      <w:proofErr w:type="spellStart"/>
      <w:r w:rsidRPr="00B12E85">
        <w:rPr>
          <w:rFonts w:ascii="Calibri" w:eastAsia="Calibri" w:hAnsi="Calibri" w:cs="Calibri"/>
          <w:szCs w:val="22"/>
        </w:rPr>
        <w:t>Kovesdy</w:t>
      </w:r>
      <w:proofErr w:type="spellEnd"/>
      <w:r w:rsidRPr="00B12E85">
        <w:rPr>
          <w:rFonts w:ascii="Calibri" w:eastAsia="Calibri" w:hAnsi="Calibri" w:cs="Calibri"/>
          <w:szCs w:val="22"/>
        </w:rPr>
        <w:t xml:space="preserve"> CP, Jalal DI. Iron Deficiency in Chronic Kidney Disease: Updates on Pathophysiology, Diagnosis, and Treatment. J Am Soc Nephrol. 2020 Mar;31(3):456-468.</w:t>
      </w:r>
    </w:p>
    <w:p w14:paraId="65454FD0" w14:textId="4624E272" w:rsidR="00AE3E37" w:rsidRDefault="00B12E85" w:rsidP="001751EF">
      <w:pPr>
        <w:pStyle w:val="BodyText"/>
        <w:spacing w:before="80" w:line="200" w:lineRule="exact"/>
        <w:ind w:left="389" w:right="144" w:hanging="288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12E85">
        <w:rPr>
          <w:rFonts w:ascii="Calibri" w:eastAsia="Calibri" w:hAnsi="Calibri" w:cs="Calibri"/>
          <w:szCs w:val="22"/>
        </w:rPr>
        <w:t>Wish JB. Treatment of Anemia in Kidney Disease: Beyond Erythropoietin. Kidney Int Rep. 2021. https://doi.org/10.1016/j.ekir.2021.05.028.</w:t>
      </w:r>
    </w:p>
    <w:p w14:paraId="2F13DD45" w14:textId="77777777" w:rsidR="00AE3E37" w:rsidRPr="00872F01" w:rsidRDefault="00AE3E37">
      <w:pPr>
        <w:pStyle w:val="BodyText"/>
        <w:rPr>
          <w:rFonts w:ascii="Calibri"/>
          <w:sz w:val="12"/>
          <w:szCs w:val="12"/>
        </w:rPr>
      </w:pPr>
    </w:p>
    <w:p w14:paraId="281C597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C04FA6D" wp14:editId="160810E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E7446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2A0E2F3" w14:textId="2FB38CE6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</w:t>
      </w:r>
      <w:r w:rsidR="00872F01" w:rsidRPr="00872F01">
        <w:rPr>
          <w:noProof/>
        </w:rPr>
        <w:drawing>
          <wp:inline distT="0" distB="0" distL="0" distR="0" wp14:anchorId="163127B4" wp14:editId="76CCD730">
            <wp:extent cx="498152" cy="746760"/>
            <wp:effectExtent l="0" t="0" r="0" b="0"/>
            <wp:docPr id="2" name="Picture 2" descr="A person wearing a suit and t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earing a suit and ti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630" r="324" b="11326"/>
                    <a:stretch/>
                  </pic:blipFill>
                  <pic:spPr bwMode="auto">
                    <a:xfrm>
                      <a:off x="0" y="0"/>
                      <a:ext cx="507616" cy="760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 w:rsidR="00872F01">
        <w:rPr>
          <w:noProof/>
        </w:rPr>
        <w:t xml:space="preserve"> </w:t>
      </w:r>
      <w:r w:rsidR="00872F01">
        <w:rPr>
          <w:rFonts w:ascii="Arial"/>
          <w:color w:val="BF5A14"/>
        </w:rPr>
        <w:t>Dr Ali AlSahow</w:t>
      </w:r>
    </w:p>
    <w:p w14:paraId="512F715F" w14:textId="5DCB0A70" w:rsidR="00AE3E37" w:rsidRDefault="00872F01" w:rsidP="00B12E85">
      <w:pPr>
        <w:spacing w:before="41" w:line="154" w:lineRule="exact"/>
        <w:ind w:left="213" w:right="231"/>
        <w:rPr>
          <w:rFonts w:ascii="Arial"/>
          <w:sz w:val="14"/>
        </w:rPr>
      </w:pPr>
      <w:r>
        <w:rPr>
          <w:rFonts w:ascii="Arial"/>
          <w:sz w:val="14"/>
        </w:rPr>
        <w:t>Gra</w:t>
      </w:r>
      <w:r w:rsidR="00B12E85" w:rsidRPr="00B12E85">
        <w:rPr>
          <w:rFonts w:ascii="Arial"/>
          <w:sz w:val="14"/>
        </w:rPr>
        <w:t>duated from University College Cork medical school, Ireland in 1994</w:t>
      </w:r>
      <w:r w:rsidR="00B12E85">
        <w:rPr>
          <w:rFonts w:ascii="Arial"/>
          <w:sz w:val="14"/>
        </w:rPr>
        <w:t>, then c</w:t>
      </w:r>
      <w:r w:rsidR="00B12E85" w:rsidRPr="00B12E85">
        <w:rPr>
          <w:rFonts w:ascii="Arial"/>
          <w:sz w:val="14"/>
        </w:rPr>
        <w:t>ompleted residency in Internal Medicine &amp; fellowship in nephrology in the University of British Columbia (UBC), Canada</w:t>
      </w:r>
      <w:r w:rsidR="00B12E85">
        <w:rPr>
          <w:rFonts w:ascii="Arial"/>
          <w:sz w:val="14"/>
        </w:rPr>
        <w:t xml:space="preserve">. </w:t>
      </w:r>
      <w:r w:rsidR="00B12E85" w:rsidRPr="00B12E85">
        <w:rPr>
          <w:rFonts w:ascii="Arial"/>
          <w:sz w:val="14"/>
        </w:rPr>
        <w:t>Obtained the American Board &amp; the Canadian Fellowship in Internal Medicine in 2000 &amp; the American Board &amp; the Canadian Fellowship in Nephrology in 2002</w:t>
      </w:r>
      <w:r w:rsidR="00B12E85">
        <w:rPr>
          <w:rFonts w:ascii="Arial"/>
          <w:sz w:val="14"/>
        </w:rPr>
        <w:t xml:space="preserve">. </w:t>
      </w:r>
      <w:r w:rsidR="00B12E85" w:rsidRPr="00B12E85">
        <w:rPr>
          <w:rFonts w:ascii="Arial"/>
          <w:sz w:val="14"/>
        </w:rPr>
        <w:t>Won the Prize for Best Fellow in Teaching from UBC in 2003</w:t>
      </w:r>
      <w:r w:rsidR="00B12E85">
        <w:rPr>
          <w:rFonts w:ascii="Arial"/>
          <w:sz w:val="14"/>
        </w:rPr>
        <w:t>. F</w:t>
      </w:r>
      <w:r w:rsidR="00B12E85" w:rsidRPr="00B12E85">
        <w:rPr>
          <w:rFonts w:ascii="Arial"/>
          <w:sz w:val="14"/>
        </w:rPr>
        <w:t>ormer Head of Department of Medicine in Jahra Hospital</w:t>
      </w:r>
      <w:r w:rsidR="00B12E85">
        <w:rPr>
          <w:rFonts w:ascii="Arial"/>
          <w:sz w:val="14"/>
        </w:rPr>
        <w:t xml:space="preserve">, </w:t>
      </w:r>
      <w:r w:rsidR="00B12E85" w:rsidRPr="00B12E85">
        <w:rPr>
          <w:rFonts w:ascii="Arial"/>
          <w:sz w:val="14"/>
        </w:rPr>
        <w:t>Past President of Kuwait Nephrology Association</w:t>
      </w:r>
      <w:r w:rsidR="00B12E85">
        <w:rPr>
          <w:rFonts w:ascii="Arial"/>
          <w:sz w:val="14"/>
        </w:rPr>
        <w:t xml:space="preserve">, </w:t>
      </w:r>
      <w:r w:rsidR="00B12E85" w:rsidRPr="00B12E85">
        <w:rPr>
          <w:rFonts w:ascii="Arial"/>
          <w:sz w:val="14"/>
        </w:rPr>
        <w:t>Former country representative for Kuwait in GCC DOPPS SAC &amp; in ISN Middle East Regional Board</w:t>
      </w:r>
      <w:r w:rsidR="00B12E85">
        <w:rPr>
          <w:rFonts w:ascii="Arial"/>
          <w:sz w:val="14"/>
        </w:rPr>
        <w:t>. C</w:t>
      </w:r>
      <w:r w:rsidR="00B12E85" w:rsidRPr="00B12E85">
        <w:rPr>
          <w:rFonts w:ascii="Arial"/>
          <w:sz w:val="14"/>
        </w:rPr>
        <w:t>urrently Head of Nephrology Division in Jahra hospital</w:t>
      </w:r>
      <w:r w:rsidR="00A9710C">
        <w:rPr>
          <w:rFonts w:ascii="Arial"/>
          <w:sz w:val="14"/>
        </w:rPr>
        <w:t>.</w:t>
      </w:r>
    </w:p>
    <w:p w14:paraId="241D3556" w14:textId="46FF63E9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B12E85" w:rsidRPr="00B17265">
          <w:rPr>
            <w:rStyle w:val="Hyperlink"/>
            <w:rFonts w:ascii="Arial"/>
            <w:sz w:val="14"/>
          </w:rPr>
          <w:t>alsahow@hotmail.com</w:t>
        </w:r>
      </w:hyperlink>
    </w:p>
    <w:p w14:paraId="589AC11A" w14:textId="451C7B01" w:rsidR="00AE3E37" w:rsidRPr="00B12E85" w:rsidRDefault="00292ED9" w:rsidP="00B12E85">
      <w:pPr>
        <w:pStyle w:val="BodyText"/>
        <w:spacing w:before="2"/>
        <w:rPr>
          <w:rFonts w:ascii="Arial"/>
          <w:sz w:val="19"/>
        </w:rPr>
        <w:sectPr w:rsidR="00AE3E37" w:rsidRPr="00B12E8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A73B674" wp14:editId="142B295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92A5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43EEF76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CF819" w14:textId="77777777" w:rsidR="00FC55FC" w:rsidRDefault="00FC55FC">
      <w:r>
        <w:separator/>
      </w:r>
    </w:p>
  </w:endnote>
  <w:endnote w:type="continuationSeparator" w:id="0">
    <w:p w14:paraId="4805AE8A" w14:textId="77777777"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7C0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C7976C5" wp14:editId="3ACE39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46CA5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ACCF67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976C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3446CA5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ACCF67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486D6EC" wp14:editId="13EFDD0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6B449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B34711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86D6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16B449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B34711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3FE047D" wp14:editId="72FF382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F3FE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BA3215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FE047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CDF3FE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BA3215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37C9" w14:textId="77777777" w:rsidR="00FC55FC" w:rsidRDefault="00FC55FC">
      <w:r>
        <w:separator/>
      </w:r>
    </w:p>
  </w:footnote>
  <w:footnote w:type="continuationSeparator" w:id="0">
    <w:p w14:paraId="2ABBC1E9" w14:textId="77777777"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533C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A443BB2" wp14:editId="46B2E69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1A1D0A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443BB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441A1D0A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8452145" wp14:editId="6F1A3BE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7D28A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E24FB09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5214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7307D28A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E24FB09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751E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2F01"/>
    <w:rsid w:val="00873DF0"/>
    <w:rsid w:val="008756E6"/>
    <w:rsid w:val="008A08B6"/>
    <w:rsid w:val="009B2D44"/>
    <w:rsid w:val="00A07E82"/>
    <w:rsid w:val="00A9710C"/>
    <w:rsid w:val="00AE3E37"/>
    <w:rsid w:val="00B12E85"/>
    <w:rsid w:val="00B21A57"/>
    <w:rsid w:val="00C33602"/>
    <w:rsid w:val="00CD6F55"/>
    <w:rsid w:val="00DE3104"/>
    <w:rsid w:val="00E26B10"/>
    <w:rsid w:val="00F72EEA"/>
    <w:rsid w:val="00F84CAE"/>
    <w:rsid w:val="00FC047A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7D58A3"/>
  <w15:docId w15:val="{E637618B-8FDF-4E7F-8B69-E02F5EFD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12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alsahow@hot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 Ali AlSahow</cp:lastModifiedBy>
  <cp:revision>2</cp:revision>
  <dcterms:created xsi:type="dcterms:W3CDTF">2021-08-06T17:21:00Z</dcterms:created>
  <dcterms:modified xsi:type="dcterms:W3CDTF">2021-08-06T17:21:00Z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