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588" w:rsidRPr="009058BA" w:rsidRDefault="00AB7588" w:rsidP="00AB7588">
      <w:pPr>
        <w:pBdr>
          <w:bottom w:val="single" w:sz="6" w:space="0" w:color="97B0C8"/>
        </w:pBdr>
        <w:shd w:val="clear" w:color="auto" w:fill="FFFFFF"/>
        <w:spacing w:before="270" w:after="0" w:line="267" w:lineRule="atLeast"/>
        <w:outlineLvl w:val="1"/>
        <w:rPr>
          <w:rFonts w:ascii="Arial" w:eastAsia="Times New Roman" w:hAnsi="Arial" w:cs="Arial"/>
          <w:b/>
          <w:bCs/>
          <w:color w:val="985735"/>
          <w:sz w:val="44"/>
          <w:szCs w:val="44"/>
          <w:lang w:val="en"/>
        </w:rPr>
      </w:pPr>
      <w:r w:rsidRPr="009058BA">
        <w:rPr>
          <w:rFonts w:ascii="Arial" w:eastAsia="Times New Roman" w:hAnsi="Arial" w:cs="Arial"/>
          <w:b/>
          <w:bCs/>
          <w:color w:val="985735"/>
          <w:sz w:val="44"/>
          <w:szCs w:val="44"/>
          <w:lang w:val="en"/>
        </w:rPr>
        <w:t>Abstract</w:t>
      </w:r>
    </w:p>
    <w:p w:rsidR="00AB7588" w:rsidRPr="00AB7588" w:rsidRDefault="00AB7588" w:rsidP="00AB7588">
      <w:pPr>
        <w:shd w:val="clear" w:color="auto" w:fill="FFFFFF"/>
        <w:spacing w:before="166" w:after="166" w:line="240" w:lineRule="auto"/>
        <w:rPr>
          <w:rFonts w:ascii="Times New Roman" w:eastAsia="Times New Roman" w:hAnsi="Times New Roman" w:cs="Times New Roman"/>
          <w:vanish/>
          <w:color w:val="000000"/>
          <w:sz w:val="25"/>
          <w:szCs w:val="25"/>
          <w:lang w:val="en"/>
        </w:rPr>
      </w:pPr>
      <w:r w:rsidRPr="00AB7588">
        <w:rPr>
          <w:rFonts w:ascii="Times New Roman" w:eastAsia="Times New Roman" w:hAnsi="Times New Roman" w:cs="Times New Roman"/>
          <w:vanish/>
          <w:color w:val="000000"/>
          <w:sz w:val="25"/>
          <w:szCs w:val="25"/>
          <w:lang w:val="en"/>
        </w:rPr>
        <w:t>In recent times the use of larger doses of vancomycin aimed at curbing the increasing incidence of resistant strains of </w:t>
      </w:r>
      <w:r w:rsidRPr="00AB7588">
        <w:rPr>
          <w:rFonts w:ascii="Times New Roman" w:eastAsia="Times New Roman" w:hAnsi="Times New Roman" w:cs="Times New Roman"/>
          <w:i/>
          <w:iCs/>
          <w:vanish/>
          <w:color w:val="000000"/>
          <w:sz w:val="25"/>
          <w:szCs w:val="25"/>
          <w:lang w:val="en"/>
        </w:rPr>
        <w:t>Staphylococcus aureus</w:t>
      </w:r>
      <w:r w:rsidRPr="00AB7588">
        <w:rPr>
          <w:rFonts w:ascii="Times New Roman" w:eastAsia="Times New Roman" w:hAnsi="Times New Roman" w:cs="Times New Roman"/>
          <w:vanish/>
          <w:color w:val="000000"/>
          <w:sz w:val="25"/>
          <w:szCs w:val="25"/>
          <w:lang w:val="en"/>
        </w:rPr>
        <w:t> has led to a wider report of acute kidney injury (AKI). Apart from biological plausibility, causality is implied by the predictive association of AKI with larger doses, longer duration, and graded plasma concentrations of vancomycin. AKI is more likely to occur with the concurrent use of nephrotoxic agents, and in critically ill patients who are susceptible to poor renal perfusion. Although most vancomycin-induced AKI cases are mild and therefore reversible, their occurrence may be associated with greater incidence of end-stage kidney disease and higher mortality rate. The strategy for its prevention includes adequate renal perfusion and therapeutic drug monitoring in high-risk individuals. In the near future, there is feasibility of renoprotective use of antioxidative substances in the delivery of vancomycin.</w:t>
      </w:r>
    </w:p>
    <w:p w:rsidR="00AB7588" w:rsidRPr="00AB7588" w:rsidRDefault="00AB7588" w:rsidP="00AB7588">
      <w:pPr>
        <w:shd w:val="clear" w:color="auto" w:fill="FFFFFF"/>
        <w:spacing w:after="0" w:line="240" w:lineRule="auto"/>
        <w:rPr>
          <w:rFonts w:ascii="Times New Roman" w:eastAsia="Times New Roman" w:hAnsi="Times New Roman" w:cs="Times New Roman"/>
          <w:vanish/>
          <w:color w:val="000000"/>
          <w:sz w:val="25"/>
          <w:szCs w:val="25"/>
          <w:lang w:val="en"/>
        </w:rPr>
      </w:pPr>
      <w:r w:rsidRPr="00AB7588">
        <w:rPr>
          <w:rFonts w:ascii="Times New Roman" w:eastAsia="Times New Roman" w:hAnsi="Times New Roman" w:cs="Times New Roman"/>
          <w:b/>
          <w:bCs/>
          <w:vanish/>
          <w:color w:val="000000"/>
          <w:sz w:val="25"/>
          <w:szCs w:val="25"/>
          <w:lang w:val="en"/>
        </w:rPr>
        <w:t>Keywords: </w:t>
      </w:r>
      <w:r w:rsidRPr="00AB7588">
        <w:rPr>
          <w:rFonts w:ascii="Times New Roman" w:eastAsia="Times New Roman" w:hAnsi="Times New Roman" w:cs="Times New Roman"/>
          <w:vanish/>
          <w:color w:val="000000"/>
          <w:sz w:val="25"/>
          <w:szCs w:val="25"/>
          <w:lang w:val="en"/>
        </w:rPr>
        <w:t>Vancomycin, Vancomycin Resistance, Acute Kidney Injury, Nephrotoxicity, Critical Illness, Risk factors</w:t>
      </w:r>
    </w:p>
    <w:p w:rsidR="00AB7588" w:rsidRPr="00AB7588" w:rsidRDefault="00AB7588" w:rsidP="00AB7588">
      <w:pPr>
        <w:shd w:val="clear" w:color="auto" w:fill="FFFFFF"/>
        <w:spacing w:after="0" w:line="240" w:lineRule="auto"/>
        <w:jc w:val="right"/>
        <w:rPr>
          <w:rFonts w:ascii="Arial" w:eastAsia="Times New Roman" w:hAnsi="Arial" w:cs="Arial"/>
          <w:color w:val="000000"/>
          <w:sz w:val="25"/>
          <w:szCs w:val="25"/>
        </w:rPr>
      </w:pPr>
    </w:p>
    <w:p w:rsidR="00AB7588" w:rsidRPr="009058BA" w:rsidRDefault="009058BA" w:rsidP="009058BA">
      <w:pPr>
        <w:pBdr>
          <w:bottom w:val="single" w:sz="6" w:space="0" w:color="97B0C8"/>
        </w:pBdr>
        <w:shd w:val="clear" w:color="auto" w:fill="FFFFFF"/>
        <w:spacing w:before="270" w:after="0" w:line="267" w:lineRule="atLeast"/>
        <w:jc w:val="both"/>
        <w:outlineLvl w:val="1"/>
        <w:rPr>
          <w:rFonts w:asciiTheme="majorBidi" w:eastAsia="Times New Roman" w:hAnsiTheme="majorBidi" w:cstheme="majorBidi"/>
          <w:b/>
          <w:bCs/>
          <w:color w:val="985735"/>
          <w:sz w:val="32"/>
          <w:szCs w:val="32"/>
        </w:rPr>
      </w:pPr>
      <w:r w:rsidRPr="009058BA">
        <w:rPr>
          <w:rFonts w:asciiTheme="majorBidi" w:hAnsiTheme="majorBidi" w:cstheme="majorBidi"/>
          <w:color w:val="000000"/>
          <w:sz w:val="32"/>
          <w:szCs w:val="32"/>
          <w:shd w:val="clear" w:color="auto" w:fill="FFFFFF"/>
        </w:rPr>
        <w:t>In recent times the use of larger doses of vancomycin aimed at curbing the increasing incidence of resistant strains of </w:t>
      </w:r>
      <w:r w:rsidRPr="009058BA">
        <w:rPr>
          <w:rStyle w:val="Emphasis"/>
          <w:rFonts w:asciiTheme="majorBidi" w:hAnsiTheme="majorBidi" w:cstheme="majorBidi"/>
          <w:color w:val="000000"/>
          <w:sz w:val="32"/>
          <w:szCs w:val="32"/>
          <w:shd w:val="clear" w:color="auto" w:fill="FFFFFF"/>
        </w:rPr>
        <w:t>Staphylococcus aureus</w:t>
      </w:r>
      <w:r w:rsidRPr="009058BA">
        <w:rPr>
          <w:rFonts w:asciiTheme="majorBidi" w:hAnsiTheme="majorBidi" w:cstheme="majorBidi"/>
          <w:color w:val="000000"/>
          <w:sz w:val="32"/>
          <w:szCs w:val="32"/>
          <w:shd w:val="clear" w:color="auto" w:fill="FFFFFF"/>
        </w:rPr>
        <w:t> has led to a wider report of acute kidney injury (AKI). Apart from biological plausibility, causality is implied by the predictive association of AKI with larger doses, longer duration, and graded plasma concentrations of vancomycin. AKI is more likely to occur with the concurrent use of nephrotoxic agents, and in critically ill patients who are susceptible to poor renal perfusion. Although most vancomycin-induced AKI cases are mild and therefore reversible, their occurrence may be associated with greater incidence of end-stage kidney disease and higher mortality rate. The strategy for its prevention includes adequate renal perfusion and therapeutic drug monitoring in high-risk individuals. In the near future, there is feasibility of renoprotective use of antioxidative substances in the delivery of vancomycin.</w:t>
      </w:r>
    </w:p>
    <w:p w:rsidR="009058BA" w:rsidRPr="009058BA" w:rsidRDefault="009058BA" w:rsidP="009058BA">
      <w:pPr>
        <w:shd w:val="clear" w:color="auto" w:fill="FFFFFF"/>
        <w:spacing w:before="166" w:after="166" w:line="240" w:lineRule="auto"/>
        <w:jc w:val="both"/>
        <w:rPr>
          <w:rFonts w:asciiTheme="majorBidi" w:eastAsia="Times New Roman" w:hAnsiTheme="majorBidi" w:cstheme="majorBidi"/>
          <w:b/>
          <w:bCs/>
          <w:color w:val="985735"/>
          <w:sz w:val="40"/>
          <w:szCs w:val="40"/>
        </w:rPr>
      </w:pPr>
      <w:r w:rsidRPr="009058BA">
        <w:rPr>
          <w:rFonts w:asciiTheme="majorBidi" w:eastAsia="Times New Roman" w:hAnsiTheme="majorBidi" w:cstheme="majorBidi"/>
          <w:b/>
          <w:bCs/>
          <w:color w:val="985735"/>
          <w:sz w:val="40"/>
          <w:szCs w:val="40"/>
        </w:rPr>
        <w:t>Introduction</w:t>
      </w:r>
    </w:p>
    <w:p w:rsidR="00AB7588" w:rsidRPr="009058BA" w:rsidRDefault="00AB7588" w:rsidP="009058BA">
      <w:pPr>
        <w:shd w:val="clear" w:color="auto" w:fill="FFFFFF"/>
        <w:spacing w:before="166" w:after="166" w:line="240" w:lineRule="auto"/>
        <w:jc w:val="both"/>
        <w:rPr>
          <w:rFonts w:asciiTheme="majorBidi" w:eastAsia="Times New Roman" w:hAnsiTheme="majorBidi" w:cstheme="majorBidi"/>
          <w:color w:val="000000"/>
          <w:sz w:val="32"/>
          <w:szCs w:val="32"/>
        </w:rPr>
      </w:pPr>
      <w:r w:rsidRPr="009058BA">
        <w:rPr>
          <w:rFonts w:asciiTheme="majorBidi" w:eastAsia="Times New Roman" w:hAnsiTheme="majorBidi" w:cstheme="majorBidi"/>
          <w:color w:val="000000"/>
          <w:sz w:val="32"/>
          <w:szCs w:val="32"/>
        </w:rPr>
        <w:t>Due to the paucity of methodologically sound studies, there were initial doubts about the causal effect association of vancomycin for acute kidney injury (AKI). Given the multiple confounding predisposing factors, particularly in the critical care setting, proof of causality requires randomized control trials. The ethical implication of conducting such trials led to the preponderance of observational studies [</w:t>
      </w:r>
      <w:hyperlink r:id="rId6" w:anchor="bibr29-2042018816638223" w:history="1">
        <w:r w:rsidRPr="009058BA">
          <w:rPr>
            <w:rFonts w:asciiTheme="majorBidi" w:eastAsia="Times New Roman" w:hAnsiTheme="majorBidi" w:cstheme="majorBidi"/>
            <w:color w:val="2F4A8B"/>
            <w:sz w:val="32"/>
            <w:szCs w:val="32"/>
            <w:u w:val="single"/>
          </w:rPr>
          <w:t>Farber and Moellering, 1983</w:t>
        </w:r>
      </w:hyperlink>
      <w:r w:rsidRPr="009058BA">
        <w:rPr>
          <w:rFonts w:asciiTheme="majorBidi" w:eastAsia="Times New Roman" w:hAnsiTheme="majorBidi" w:cstheme="majorBidi"/>
          <w:color w:val="000000"/>
          <w:sz w:val="32"/>
          <w:szCs w:val="32"/>
        </w:rPr>
        <w:t>; </w:t>
      </w:r>
      <w:hyperlink r:id="rId7" w:anchor="bibr35-2042018816638223" w:history="1">
        <w:r w:rsidRPr="009058BA">
          <w:rPr>
            <w:rFonts w:asciiTheme="majorBidi" w:eastAsia="Times New Roman" w:hAnsiTheme="majorBidi" w:cstheme="majorBidi"/>
            <w:color w:val="2F4A8B"/>
            <w:sz w:val="32"/>
            <w:szCs w:val="32"/>
            <w:u w:val="single"/>
          </w:rPr>
          <w:t>Hanrahan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2015</w:t>
        </w:r>
      </w:hyperlink>
      <w:r w:rsidRPr="009058BA">
        <w:rPr>
          <w:rFonts w:asciiTheme="majorBidi" w:eastAsia="Times New Roman" w:hAnsiTheme="majorBidi" w:cstheme="majorBidi"/>
          <w:color w:val="000000"/>
          <w:sz w:val="32"/>
          <w:szCs w:val="32"/>
        </w:rPr>
        <w:t>; </w:t>
      </w:r>
      <w:hyperlink r:id="rId8" w:anchor="bibr8-2042018816638223" w:history="1">
        <w:r w:rsidRPr="009058BA">
          <w:rPr>
            <w:rFonts w:asciiTheme="majorBidi" w:eastAsia="Times New Roman" w:hAnsiTheme="majorBidi" w:cstheme="majorBidi"/>
            <w:color w:val="2F4A8B"/>
            <w:sz w:val="32"/>
            <w:szCs w:val="32"/>
            <w:u w:val="single"/>
          </w:rPr>
          <w:t>Burgess and Drew, 2014</w:t>
        </w:r>
      </w:hyperlink>
      <w:r w:rsidRPr="009058BA">
        <w:rPr>
          <w:rFonts w:asciiTheme="majorBidi" w:eastAsia="Times New Roman" w:hAnsiTheme="majorBidi" w:cstheme="majorBidi"/>
          <w:color w:val="000000"/>
          <w:sz w:val="32"/>
          <w:szCs w:val="32"/>
        </w:rPr>
        <w:t>; </w:t>
      </w:r>
      <w:hyperlink r:id="rId9" w:anchor="bibr23-2042018816638223" w:history="1">
        <w:r w:rsidRPr="009058BA">
          <w:rPr>
            <w:rFonts w:asciiTheme="majorBidi" w:eastAsia="Times New Roman" w:hAnsiTheme="majorBidi" w:cstheme="majorBidi"/>
            <w:color w:val="2F4A8B"/>
            <w:sz w:val="32"/>
            <w:szCs w:val="32"/>
            <w:u w:val="single"/>
          </w:rPr>
          <w:t>Davies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2013</w:t>
        </w:r>
      </w:hyperlink>
      <w:r w:rsidRPr="009058BA">
        <w:rPr>
          <w:rFonts w:asciiTheme="majorBidi" w:eastAsia="Times New Roman" w:hAnsiTheme="majorBidi" w:cstheme="majorBidi"/>
          <w:color w:val="000000"/>
          <w:sz w:val="32"/>
          <w:szCs w:val="32"/>
        </w:rPr>
        <w:t>, </w:t>
      </w:r>
      <w:hyperlink r:id="rId10" w:anchor="bibr22-2042018816638223" w:history="1">
        <w:r w:rsidRPr="009058BA">
          <w:rPr>
            <w:rFonts w:asciiTheme="majorBidi" w:eastAsia="Times New Roman" w:hAnsiTheme="majorBidi" w:cstheme="majorBidi"/>
            <w:color w:val="2F4A8B"/>
            <w:sz w:val="32"/>
            <w:szCs w:val="32"/>
            <w:u w:val="single"/>
          </w:rPr>
          <w:t>2015</w:t>
        </w:r>
      </w:hyperlink>
      <w:r w:rsidRPr="009058BA">
        <w:rPr>
          <w:rFonts w:asciiTheme="majorBidi" w:eastAsia="Times New Roman" w:hAnsiTheme="majorBidi" w:cstheme="majorBidi"/>
          <w:color w:val="000000"/>
          <w:sz w:val="32"/>
          <w:szCs w:val="32"/>
        </w:rPr>
        <w:t>]. With glomerular filtration as the principal mode of excretion, the initial wave of reported nephrotoxicity was attributed to the 25–30% formulation content of impurities prior to the late 1970s [</w:t>
      </w:r>
      <w:hyperlink r:id="rId11" w:anchor="bibr80-2042018816638223" w:history="1">
        <w:r w:rsidRPr="009058BA">
          <w:rPr>
            <w:rFonts w:asciiTheme="majorBidi" w:eastAsia="Times New Roman" w:hAnsiTheme="majorBidi" w:cstheme="majorBidi"/>
            <w:color w:val="2F4A8B"/>
            <w:sz w:val="32"/>
            <w:szCs w:val="32"/>
            <w:u w:val="single"/>
          </w:rPr>
          <w:t>Rybak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2009</w:t>
        </w:r>
      </w:hyperlink>
      <w:r w:rsidRPr="009058BA">
        <w:rPr>
          <w:rFonts w:asciiTheme="majorBidi" w:eastAsia="Times New Roman" w:hAnsiTheme="majorBidi" w:cstheme="majorBidi"/>
          <w:color w:val="000000"/>
          <w:sz w:val="32"/>
          <w:szCs w:val="32"/>
        </w:rPr>
        <w:t>; </w:t>
      </w:r>
      <w:hyperlink r:id="rId12" w:anchor="bibr90-2042018816638223" w:history="1">
        <w:r w:rsidRPr="009058BA">
          <w:rPr>
            <w:rFonts w:asciiTheme="majorBidi" w:eastAsia="Times New Roman" w:hAnsiTheme="majorBidi" w:cstheme="majorBidi"/>
            <w:color w:val="2F4A8B"/>
            <w:sz w:val="32"/>
            <w:szCs w:val="32"/>
            <w:u w:val="single"/>
          </w:rPr>
          <w:t>Wood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1986</w:t>
        </w:r>
      </w:hyperlink>
      <w:r w:rsidRPr="009058BA">
        <w:rPr>
          <w:rFonts w:asciiTheme="majorBidi" w:eastAsia="Times New Roman" w:hAnsiTheme="majorBidi" w:cstheme="majorBidi"/>
          <w:color w:val="000000"/>
          <w:sz w:val="32"/>
          <w:szCs w:val="32"/>
        </w:rPr>
        <w:t>]. This assumption was validated by the parallel reduction of vancomycin-related AKI that followed technological improvement in the fermentation process, which led to a 95% level of product purity by 1985 [</w:t>
      </w:r>
      <w:hyperlink r:id="rId13" w:anchor="bibr4-2042018816638223" w:history="1">
        <w:r w:rsidRPr="009058BA">
          <w:rPr>
            <w:rFonts w:asciiTheme="majorBidi" w:eastAsia="Times New Roman" w:hAnsiTheme="majorBidi" w:cstheme="majorBidi"/>
            <w:color w:val="2F4A8B"/>
            <w:sz w:val="32"/>
            <w:szCs w:val="32"/>
            <w:u w:val="single"/>
          </w:rPr>
          <w:t>Bailie and Neal, 1988</w:t>
        </w:r>
      </w:hyperlink>
      <w:r w:rsidRPr="009058BA">
        <w:rPr>
          <w:rFonts w:asciiTheme="majorBidi" w:eastAsia="Times New Roman" w:hAnsiTheme="majorBidi" w:cstheme="majorBidi"/>
          <w:color w:val="000000"/>
          <w:sz w:val="32"/>
          <w:szCs w:val="32"/>
        </w:rPr>
        <w:t xml:space="preserve">]. The incidence of vancomycin-induced nephrotoxicity (VIN) was </w:t>
      </w:r>
      <w:r w:rsidRPr="009058BA">
        <w:rPr>
          <w:rFonts w:asciiTheme="majorBidi" w:eastAsia="Times New Roman" w:hAnsiTheme="majorBidi" w:cstheme="majorBidi"/>
          <w:color w:val="000000"/>
          <w:sz w:val="32"/>
          <w:szCs w:val="32"/>
        </w:rPr>
        <w:lastRenderedPageBreak/>
        <w:t>reported to range from 5% to 7% [</w:t>
      </w:r>
      <w:hyperlink r:id="rId14" w:anchor="bibr29-2042018816638223" w:history="1">
        <w:r w:rsidRPr="009058BA">
          <w:rPr>
            <w:rFonts w:asciiTheme="majorBidi" w:eastAsia="Times New Roman" w:hAnsiTheme="majorBidi" w:cstheme="majorBidi"/>
            <w:color w:val="2F4A8B"/>
            <w:sz w:val="32"/>
            <w:szCs w:val="32"/>
            <w:u w:val="single"/>
          </w:rPr>
          <w:t>Farber and Moellering, 1983</w:t>
        </w:r>
      </w:hyperlink>
      <w:r w:rsidRPr="009058BA">
        <w:rPr>
          <w:rFonts w:asciiTheme="majorBidi" w:eastAsia="Times New Roman" w:hAnsiTheme="majorBidi" w:cstheme="majorBidi"/>
          <w:color w:val="000000"/>
          <w:sz w:val="32"/>
          <w:szCs w:val="32"/>
        </w:rPr>
        <w:t>; </w:t>
      </w:r>
      <w:hyperlink r:id="rId15" w:anchor="bibr55-2042018816638223" w:history="1">
        <w:r w:rsidRPr="009058BA">
          <w:rPr>
            <w:rFonts w:asciiTheme="majorBidi" w:eastAsia="Times New Roman" w:hAnsiTheme="majorBidi" w:cstheme="majorBidi"/>
            <w:color w:val="2F4A8B"/>
            <w:sz w:val="32"/>
            <w:szCs w:val="32"/>
            <w:u w:val="single"/>
          </w:rPr>
          <w:t>Mohammedi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2006</w:t>
        </w:r>
      </w:hyperlink>
      <w:r w:rsidRPr="009058BA">
        <w:rPr>
          <w:rFonts w:asciiTheme="majorBidi" w:eastAsia="Times New Roman" w:hAnsiTheme="majorBidi" w:cstheme="majorBidi"/>
          <w:color w:val="000000"/>
          <w:sz w:val="32"/>
          <w:szCs w:val="32"/>
        </w:rPr>
        <w:t>]. In addition, earlier studies showed there was an inconsistent dose–toxicity relationship while there was failure to establish causality in experimental animal studies [</w:t>
      </w:r>
      <w:hyperlink r:id="rId16" w:anchor="bibr12-2042018816638223" w:history="1">
        <w:r w:rsidRPr="009058BA">
          <w:rPr>
            <w:rFonts w:asciiTheme="majorBidi" w:eastAsia="Times New Roman" w:hAnsiTheme="majorBidi" w:cstheme="majorBidi"/>
            <w:color w:val="2F4A8B"/>
            <w:sz w:val="32"/>
            <w:szCs w:val="32"/>
            <w:u w:val="single"/>
          </w:rPr>
          <w:t>Cantu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1994</w:t>
        </w:r>
      </w:hyperlink>
      <w:r w:rsidRPr="009058BA">
        <w:rPr>
          <w:rFonts w:asciiTheme="majorBidi" w:eastAsia="Times New Roman" w:hAnsiTheme="majorBidi" w:cstheme="majorBidi"/>
          <w:color w:val="000000"/>
          <w:sz w:val="32"/>
          <w:szCs w:val="32"/>
        </w:rPr>
        <w:t>]. Although not in a consistent fashion, data were more supportive of augmented kidney injury with the combined use of vancomycin and other nephrotoxic agents [</w:t>
      </w:r>
      <w:hyperlink r:id="rId17" w:anchor="bibr79-2042018816638223" w:history="1">
        <w:r w:rsidRPr="009058BA">
          <w:rPr>
            <w:rFonts w:asciiTheme="majorBidi" w:eastAsia="Times New Roman" w:hAnsiTheme="majorBidi" w:cstheme="majorBidi"/>
            <w:color w:val="2F4A8B"/>
            <w:sz w:val="32"/>
            <w:szCs w:val="32"/>
            <w:u w:val="single"/>
          </w:rPr>
          <w:t>Rybak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1990</w:t>
        </w:r>
      </w:hyperlink>
      <w:r w:rsidRPr="009058BA">
        <w:rPr>
          <w:rFonts w:asciiTheme="majorBidi" w:eastAsia="Times New Roman" w:hAnsiTheme="majorBidi" w:cstheme="majorBidi"/>
          <w:color w:val="000000"/>
          <w:sz w:val="32"/>
          <w:szCs w:val="32"/>
        </w:rPr>
        <w:t>, </w:t>
      </w:r>
      <w:hyperlink r:id="rId18" w:anchor="bibr80-2042018816638223" w:history="1">
        <w:r w:rsidRPr="009058BA">
          <w:rPr>
            <w:rFonts w:asciiTheme="majorBidi" w:eastAsia="Times New Roman" w:hAnsiTheme="majorBidi" w:cstheme="majorBidi"/>
            <w:color w:val="2F4A8B"/>
            <w:sz w:val="32"/>
            <w:szCs w:val="32"/>
            <w:u w:val="single"/>
          </w:rPr>
          <w:t>2009</w:t>
        </w:r>
      </w:hyperlink>
      <w:r w:rsidRPr="009058BA">
        <w:rPr>
          <w:rFonts w:asciiTheme="majorBidi" w:eastAsia="Times New Roman" w:hAnsiTheme="majorBidi" w:cstheme="majorBidi"/>
          <w:color w:val="000000"/>
          <w:sz w:val="32"/>
          <w:szCs w:val="32"/>
        </w:rPr>
        <w:t>; </w:t>
      </w:r>
      <w:hyperlink r:id="rId19" w:anchor="bibr78-2042018816638223" w:history="1">
        <w:r w:rsidRPr="009058BA">
          <w:rPr>
            <w:rFonts w:asciiTheme="majorBidi" w:eastAsia="Times New Roman" w:hAnsiTheme="majorBidi" w:cstheme="majorBidi"/>
            <w:color w:val="2F4A8B"/>
            <w:sz w:val="32"/>
            <w:szCs w:val="32"/>
            <w:u w:val="single"/>
          </w:rPr>
          <w:t>Rostas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2014</w:t>
        </w:r>
      </w:hyperlink>
      <w:r w:rsidRPr="009058BA">
        <w:rPr>
          <w:rFonts w:asciiTheme="majorBidi" w:eastAsia="Times New Roman" w:hAnsiTheme="majorBidi" w:cstheme="majorBidi"/>
          <w:color w:val="000000"/>
          <w:sz w:val="32"/>
          <w:szCs w:val="32"/>
        </w:rPr>
        <w:t>; </w:t>
      </w:r>
      <w:hyperlink r:id="rId20" w:anchor="bibr67-2042018816638223" w:history="1">
        <w:r w:rsidRPr="009058BA">
          <w:rPr>
            <w:rFonts w:asciiTheme="majorBidi" w:eastAsia="Times New Roman" w:hAnsiTheme="majorBidi" w:cstheme="majorBidi"/>
            <w:color w:val="2F4A8B"/>
            <w:sz w:val="32"/>
            <w:szCs w:val="32"/>
            <w:u w:val="single"/>
          </w:rPr>
          <w:t>Paquette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2015</w:t>
        </w:r>
      </w:hyperlink>
      <w:r w:rsidRPr="009058BA">
        <w:rPr>
          <w:rFonts w:asciiTheme="majorBidi" w:eastAsia="Times New Roman" w:hAnsiTheme="majorBidi" w:cstheme="majorBidi"/>
          <w:color w:val="000000"/>
          <w:sz w:val="32"/>
          <w:szCs w:val="32"/>
        </w:rPr>
        <w:t>]. Buoyed by the increasing use of larger doses in clinically complex patients, more recent studies (mostly observational) suggest there may be a rising incidence of VIN [</w:t>
      </w:r>
      <w:hyperlink r:id="rId21" w:anchor="bibr29-2042018816638223" w:history="1">
        <w:r w:rsidRPr="009058BA">
          <w:rPr>
            <w:rFonts w:asciiTheme="majorBidi" w:eastAsia="Times New Roman" w:hAnsiTheme="majorBidi" w:cstheme="majorBidi"/>
            <w:color w:val="2F4A8B"/>
            <w:sz w:val="32"/>
            <w:szCs w:val="32"/>
            <w:u w:val="single"/>
          </w:rPr>
          <w:t>Farber and Moellering, 1983</w:t>
        </w:r>
      </w:hyperlink>
      <w:r w:rsidRPr="009058BA">
        <w:rPr>
          <w:rFonts w:asciiTheme="majorBidi" w:eastAsia="Times New Roman" w:hAnsiTheme="majorBidi" w:cstheme="majorBidi"/>
          <w:color w:val="000000"/>
          <w:sz w:val="32"/>
          <w:szCs w:val="32"/>
        </w:rPr>
        <w:t>; </w:t>
      </w:r>
      <w:hyperlink r:id="rId22" w:anchor="bibr35-2042018816638223" w:history="1">
        <w:r w:rsidRPr="009058BA">
          <w:rPr>
            <w:rFonts w:asciiTheme="majorBidi" w:eastAsia="Times New Roman" w:hAnsiTheme="majorBidi" w:cstheme="majorBidi"/>
            <w:color w:val="2F4A8B"/>
            <w:sz w:val="32"/>
            <w:szCs w:val="32"/>
            <w:u w:val="single"/>
          </w:rPr>
          <w:t>Hanrahan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2015</w:t>
        </w:r>
      </w:hyperlink>
      <w:r w:rsidRPr="009058BA">
        <w:rPr>
          <w:rFonts w:asciiTheme="majorBidi" w:eastAsia="Times New Roman" w:hAnsiTheme="majorBidi" w:cstheme="majorBidi"/>
          <w:color w:val="000000"/>
          <w:sz w:val="32"/>
          <w:szCs w:val="32"/>
        </w:rPr>
        <w:t>; </w:t>
      </w:r>
      <w:hyperlink r:id="rId23" w:anchor="bibr8-2042018816638223" w:history="1">
        <w:r w:rsidRPr="009058BA">
          <w:rPr>
            <w:rFonts w:asciiTheme="majorBidi" w:eastAsia="Times New Roman" w:hAnsiTheme="majorBidi" w:cstheme="majorBidi"/>
            <w:color w:val="2F4A8B"/>
            <w:sz w:val="32"/>
            <w:szCs w:val="32"/>
            <w:u w:val="single"/>
          </w:rPr>
          <w:t>Burgess and Drew, 2014</w:t>
        </w:r>
      </w:hyperlink>
      <w:r w:rsidRPr="009058BA">
        <w:rPr>
          <w:rFonts w:asciiTheme="majorBidi" w:eastAsia="Times New Roman" w:hAnsiTheme="majorBidi" w:cstheme="majorBidi"/>
          <w:color w:val="000000"/>
          <w:sz w:val="32"/>
          <w:szCs w:val="32"/>
        </w:rPr>
        <w:t>; </w:t>
      </w:r>
      <w:hyperlink r:id="rId24" w:anchor="bibr23-2042018816638223" w:history="1">
        <w:r w:rsidRPr="009058BA">
          <w:rPr>
            <w:rFonts w:asciiTheme="majorBidi" w:eastAsia="Times New Roman" w:hAnsiTheme="majorBidi" w:cstheme="majorBidi"/>
            <w:color w:val="2F4A8B"/>
            <w:sz w:val="32"/>
            <w:szCs w:val="32"/>
            <w:u w:val="single"/>
          </w:rPr>
          <w:t>Davies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2013</w:t>
        </w:r>
      </w:hyperlink>
      <w:r w:rsidRPr="009058BA">
        <w:rPr>
          <w:rFonts w:asciiTheme="majorBidi" w:eastAsia="Times New Roman" w:hAnsiTheme="majorBidi" w:cstheme="majorBidi"/>
          <w:color w:val="000000"/>
          <w:sz w:val="32"/>
          <w:szCs w:val="32"/>
        </w:rPr>
        <w:t>, </w:t>
      </w:r>
      <w:hyperlink r:id="rId25" w:anchor="bibr22-2042018816638223" w:history="1">
        <w:r w:rsidRPr="009058BA">
          <w:rPr>
            <w:rFonts w:asciiTheme="majorBidi" w:eastAsia="Times New Roman" w:hAnsiTheme="majorBidi" w:cstheme="majorBidi"/>
            <w:color w:val="2F4A8B"/>
            <w:sz w:val="32"/>
            <w:szCs w:val="32"/>
            <w:u w:val="single"/>
          </w:rPr>
          <w:t>2015</w:t>
        </w:r>
      </w:hyperlink>
      <w:r w:rsidRPr="009058BA">
        <w:rPr>
          <w:rFonts w:asciiTheme="majorBidi" w:eastAsia="Times New Roman" w:hAnsiTheme="majorBidi" w:cstheme="majorBidi"/>
          <w:color w:val="000000"/>
          <w:sz w:val="32"/>
          <w:szCs w:val="32"/>
        </w:rPr>
        <w:t>].</w:t>
      </w:r>
    </w:p>
    <w:p w:rsidR="00AB7588" w:rsidRPr="009058BA" w:rsidRDefault="00AB7588" w:rsidP="009058BA">
      <w:pPr>
        <w:shd w:val="clear" w:color="auto" w:fill="FFFFFF"/>
        <w:spacing w:before="308" w:after="154" w:line="300" w:lineRule="atLeast"/>
        <w:jc w:val="both"/>
        <w:outlineLvl w:val="2"/>
        <w:rPr>
          <w:rFonts w:asciiTheme="majorBidi" w:eastAsia="Times New Roman" w:hAnsiTheme="majorBidi" w:cstheme="majorBidi"/>
          <w:b/>
          <w:bCs/>
          <w:color w:val="724128"/>
          <w:sz w:val="40"/>
          <w:szCs w:val="40"/>
        </w:rPr>
      </w:pPr>
      <w:r w:rsidRPr="009058BA">
        <w:rPr>
          <w:rFonts w:asciiTheme="majorBidi" w:eastAsia="Times New Roman" w:hAnsiTheme="majorBidi" w:cstheme="majorBidi"/>
          <w:b/>
          <w:bCs/>
          <w:color w:val="724128"/>
          <w:sz w:val="40"/>
          <w:szCs w:val="40"/>
        </w:rPr>
        <w:t>Definition of vancomycin-induced AKI</w:t>
      </w:r>
    </w:p>
    <w:p w:rsidR="00AB7588" w:rsidRPr="009058BA" w:rsidRDefault="00AB7588" w:rsidP="009058BA">
      <w:pPr>
        <w:shd w:val="clear" w:color="auto" w:fill="FFFFFF"/>
        <w:spacing w:before="166" w:after="166" w:line="240" w:lineRule="auto"/>
        <w:jc w:val="both"/>
        <w:rPr>
          <w:rFonts w:asciiTheme="majorBidi" w:eastAsia="Times New Roman" w:hAnsiTheme="majorBidi" w:cstheme="majorBidi"/>
          <w:color w:val="000000"/>
          <w:sz w:val="32"/>
          <w:szCs w:val="32"/>
        </w:rPr>
      </w:pPr>
      <w:r w:rsidRPr="009058BA">
        <w:rPr>
          <w:rFonts w:asciiTheme="majorBidi" w:eastAsia="Times New Roman" w:hAnsiTheme="majorBidi" w:cstheme="majorBidi"/>
          <w:color w:val="000000"/>
          <w:sz w:val="32"/>
          <w:szCs w:val="32"/>
        </w:rPr>
        <w:t>Comparison of clinical outcome of vancomycin-related AKI studies is often confounded by variable diagnostic parameters [</w:t>
      </w:r>
      <w:hyperlink r:id="rId26" w:anchor="bibr80-2042018816638223" w:history="1">
        <w:r w:rsidRPr="009058BA">
          <w:rPr>
            <w:rFonts w:asciiTheme="majorBidi" w:eastAsia="Times New Roman" w:hAnsiTheme="majorBidi" w:cstheme="majorBidi"/>
            <w:color w:val="2F4A8B"/>
            <w:sz w:val="32"/>
            <w:szCs w:val="32"/>
            <w:u w:val="single"/>
          </w:rPr>
          <w:t>Rybak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2009</w:t>
        </w:r>
      </w:hyperlink>
      <w:r w:rsidRPr="009058BA">
        <w:rPr>
          <w:rFonts w:asciiTheme="majorBidi" w:eastAsia="Times New Roman" w:hAnsiTheme="majorBidi" w:cstheme="majorBidi"/>
          <w:color w:val="000000"/>
          <w:sz w:val="32"/>
          <w:szCs w:val="32"/>
        </w:rPr>
        <w:t>]. Poor definition of diagnosis may also limit early recognition and prompt intervention concerning VIN. To correct this inadequacy, a good starting point is the recommendation by a committee of the American Society of Health-System Pharmacists, the Infectious Diseases Society of America, and the Society of Infectious Diseases Pharmacists using the following criteria: at least two or three consecutive elevations in serum creatinine by 0.5 mg/dl or at least 50% increase from the baseline, whichever is greater; the increase must be documented after several days of vancomycin therapy; and no alternative explanation for the impairment in glomerular filtration rate [</w:t>
      </w:r>
      <w:hyperlink r:id="rId27" w:anchor="bibr80-2042018816638223" w:history="1">
        <w:r w:rsidRPr="009058BA">
          <w:rPr>
            <w:rFonts w:asciiTheme="majorBidi" w:eastAsia="Times New Roman" w:hAnsiTheme="majorBidi" w:cstheme="majorBidi"/>
            <w:color w:val="2F4A8B"/>
            <w:sz w:val="32"/>
            <w:szCs w:val="32"/>
            <w:u w:val="single"/>
          </w:rPr>
          <w:t>Rybak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2009</w:t>
        </w:r>
      </w:hyperlink>
      <w:r w:rsidRPr="009058BA">
        <w:rPr>
          <w:rFonts w:asciiTheme="majorBidi" w:eastAsia="Times New Roman" w:hAnsiTheme="majorBidi" w:cstheme="majorBidi"/>
          <w:color w:val="000000"/>
          <w:sz w:val="32"/>
          <w:szCs w:val="32"/>
        </w:rPr>
        <w:t>]. However, the shortcomings of this recommendation are i) ‘several days’ need to be specified as number of days and ii) the exclusion of the majority of patients who are likely to suffer from nephrotoxicity in the context of concurrent risk factors that may compromise renal function.</w:t>
      </w:r>
    </w:p>
    <w:p w:rsidR="00AB7588" w:rsidRPr="009058BA" w:rsidRDefault="00AB7588" w:rsidP="009058BA">
      <w:pPr>
        <w:shd w:val="clear" w:color="auto" w:fill="FFFFFF"/>
        <w:spacing w:before="166" w:after="166" w:line="240" w:lineRule="auto"/>
        <w:jc w:val="both"/>
        <w:rPr>
          <w:rFonts w:asciiTheme="majorBidi" w:eastAsia="Times New Roman" w:hAnsiTheme="majorBidi" w:cstheme="majorBidi"/>
          <w:color w:val="000000"/>
          <w:sz w:val="32"/>
          <w:szCs w:val="32"/>
        </w:rPr>
      </w:pPr>
      <w:r w:rsidRPr="009058BA">
        <w:rPr>
          <w:rFonts w:asciiTheme="majorBidi" w:eastAsia="Times New Roman" w:hAnsiTheme="majorBidi" w:cstheme="majorBidi"/>
          <w:color w:val="000000"/>
          <w:sz w:val="32"/>
          <w:szCs w:val="32"/>
        </w:rPr>
        <w:t>Furthermore, quantitative and graded definition of AKI as provided by RIFLE (Risk, Injury, Failure, Loss and End stage kidney disease), AKIN (Acute Kidney Injury Network) and most recently modified by KDIGO (Kidney Disease: Improving Global Outcome) are apt to improve the quality of data on VIN [</w:t>
      </w:r>
      <w:hyperlink r:id="rId28" w:anchor="bibr54-2042018816638223" w:history="1">
        <w:r w:rsidRPr="009058BA">
          <w:rPr>
            <w:rFonts w:asciiTheme="majorBidi" w:eastAsia="Times New Roman" w:hAnsiTheme="majorBidi" w:cstheme="majorBidi"/>
            <w:color w:val="2F4A8B"/>
            <w:sz w:val="32"/>
            <w:szCs w:val="32"/>
            <w:u w:val="single"/>
          </w:rPr>
          <w:t>Mehta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2007</w:t>
        </w:r>
      </w:hyperlink>
      <w:r w:rsidRPr="009058BA">
        <w:rPr>
          <w:rFonts w:asciiTheme="majorBidi" w:eastAsia="Times New Roman" w:hAnsiTheme="majorBidi" w:cstheme="majorBidi"/>
          <w:color w:val="000000"/>
          <w:sz w:val="32"/>
          <w:szCs w:val="32"/>
        </w:rPr>
        <w:t>; </w:t>
      </w:r>
      <w:hyperlink r:id="rId29" w:anchor="bibr52-2042018816638223" w:history="1">
        <w:r w:rsidRPr="009058BA">
          <w:rPr>
            <w:rFonts w:asciiTheme="majorBidi" w:eastAsia="Times New Roman" w:hAnsiTheme="majorBidi" w:cstheme="majorBidi"/>
            <w:color w:val="2F4A8B"/>
            <w:sz w:val="32"/>
            <w:szCs w:val="32"/>
            <w:u w:val="single"/>
          </w:rPr>
          <w:t>Lopes and Jorge 2013</w:t>
        </w:r>
      </w:hyperlink>
      <w:r w:rsidRPr="009058BA">
        <w:rPr>
          <w:rFonts w:asciiTheme="majorBidi" w:eastAsia="Times New Roman" w:hAnsiTheme="majorBidi" w:cstheme="majorBidi"/>
          <w:color w:val="000000"/>
          <w:sz w:val="32"/>
          <w:szCs w:val="32"/>
        </w:rPr>
        <w:t>]. Recognition of the limitation in estimating kidney injury with the use of serum creatinine has led to the proposal for alternative diagnostic measures. Serum creatinine may remain normal despite a significant kidney injury; and its rise may lag behind for about 48–72 h after an injurious event [</w:t>
      </w:r>
      <w:hyperlink r:id="rId30" w:anchor="bibr54-2042018816638223" w:history="1">
        <w:r w:rsidRPr="009058BA">
          <w:rPr>
            <w:rFonts w:asciiTheme="majorBidi" w:eastAsia="Times New Roman" w:hAnsiTheme="majorBidi" w:cstheme="majorBidi"/>
            <w:color w:val="2F4A8B"/>
            <w:sz w:val="32"/>
            <w:szCs w:val="32"/>
            <w:u w:val="single"/>
          </w:rPr>
          <w:t>Mehta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2007</w:t>
        </w:r>
      </w:hyperlink>
      <w:r w:rsidRPr="009058BA">
        <w:rPr>
          <w:rFonts w:asciiTheme="majorBidi" w:eastAsia="Times New Roman" w:hAnsiTheme="majorBidi" w:cstheme="majorBidi"/>
          <w:color w:val="000000"/>
          <w:sz w:val="32"/>
          <w:szCs w:val="32"/>
        </w:rPr>
        <w:t>]. Given that the suspected mechanism of VIN is principally due to proximal tubular dysfunction, parameters that differentiate disturbance of glomerular filtration from that of tubular function will improve precision of diagnosis [</w:t>
      </w:r>
      <w:hyperlink r:id="rId31" w:anchor="bibr16-2042018816638223" w:history="1">
        <w:r w:rsidRPr="009058BA">
          <w:rPr>
            <w:rFonts w:asciiTheme="majorBidi" w:eastAsia="Times New Roman" w:hAnsiTheme="majorBidi" w:cstheme="majorBidi"/>
            <w:color w:val="2F4A8B"/>
            <w:sz w:val="32"/>
            <w:szCs w:val="32"/>
            <w:u w:val="single"/>
          </w:rPr>
          <w:t>Coca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2008</w:t>
        </w:r>
      </w:hyperlink>
      <w:r w:rsidRPr="009058BA">
        <w:rPr>
          <w:rFonts w:asciiTheme="majorBidi" w:eastAsia="Times New Roman" w:hAnsiTheme="majorBidi" w:cstheme="majorBidi"/>
          <w:color w:val="000000"/>
          <w:sz w:val="32"/>
          <w:szCs w:val="32"/>
        </w:rPr>
        <w:t>]. In this regard, neutrophil gelatinase-associated lipocalin (NGAL), kidney injury molecule 1 (KIM-1) and interleukin 18 (IL-18) cytokine are preferential biomarkers of tubular inflammation while cystatin C predicts early-onset impairment in glomerular filtration [</w:t>
      </w:r>
      <w:hyperlink r:id="rId32" w:anchor="bibr16-2042018816638223" w:history="1">
        <w:r w:rsidRPr="009058BA">
          <w:rPr>
            <w:rFonts w:asciiTheme="majorBidi" w:eastAsia="Times New Roman" w:hAnsiTheme="majorBidi" w:cstheme="majorBidi"/>
            <w:color w:val="2F4A8B"/>
            <w:sz w:val="32"/>
            <w:szCs w:val="32"/>
            <w:u w:val="single"/>
          </w:rPr>
          <w:t>Coca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2008</w:t>
        </w:r>
      </w:hyperlink>
      <w:r w:rsidRPr="009058BA">
        <w:rPr>
          <w:rFonts w:asciiTheme="majorBidi" w:eastAsia="Times New Roman" w:hAnsiTheme="majorBidi" w:cstheme="majorBidi"/>
          <w:color w:val="000000"/>
          <w:sz w:val="32"/>
          <w:szCs w:val="32"/>
        </w:rPr>
        <w:t>]. Diagnostic accuracy of the individual markers may be improved by a combination of one or more of the parameters. Nevertheless, the usefulness of biomarkers for diagnosis of AKI will invariably require validation in different clinical settings.</w:t>
      </w:r>
    </w:p>
    <w:p w:rsidR="00AB7588" w:rsidRPr="009058BA" w:rsidRDefault="00AB7588" w:rsidP="009058BA">
      <w:pPr>
        <w:shd w:val="clear" w:color="auto" w:fill="FFFFFF"/>
        <w:spacing w:after="0" w:line="240" w:lineRule="auto"/>
        <w:jc w:val="both"/>
        <w:rPr>
          <w:rFonts w:asciiTheme="majorBidi" w:eastAsia="Times New Roman" w:hAnsiTheme="majorBidi" w:cstheme="majorBidi"/>
          <w:color w:val="000000"/>
          <w:sz w:val="32"/>
          <w:szCs w:val="32"/>
        </w:rPr>
      </w:pPr>
      <w:hyperlink r:id="rId33" w:tooltip="Go to other sections in this page" w:history="1">
        <w:r w:rsidRPr="009058BA">
          <w:rPr>
            <w:rFonts w:asciiTheme="majorBidi" w:eastAsia="Times New Roman" w:hAnsiTheme="majorBidi" w:cstheme="majorBidi"/>
            <w:color w:val="2F4A8B"/>
            <w:sz w:val="32"/>
            <w:szCs w:val="32"/>
            <w:u w:val="single"/>
          </w:rPr>
          <w:t>Go to:</w:t>
        </w:r>
      </w:hyperlink>
    </w:p>
    <w:p w:rsidR="00AB7588" w:rsidRPr="009058BA" w:rsidRDefault="00AB7588" w:rsidP="009058BA">
      <w:pPr>
        <w:pBdr>
          <w:bottom w:val="single" w:sz="6" w:space="0" w:color="97B0C8"/>
        </w:pBdr>
        <w:shd w:val="clear" w:color="auto" w:fill="FFFFFF"/>
        <w:spacing w:before="270" w:after="0" w:line="267" w:lineRule="atLeast"/>
        <w:jc w:val="both"/>
        <w:outlineLvl w:val="1"/>
        <w:rPr>
          <w:rFonts w:asciiTheme="majorBidi" w:eastAsia="Times New Roman" w:hAnsiTheme="majorBidi" w:cstheme="majorBidi"/>
          <w:b/>
          <w:bCs/>
          <w:color w:val="985735"/>
          <w:sz w:val="40"/>
          <w:szCs w:val="40"/>
        </w:rPr>
      </w:pPr>
      <w:r w:rsidRPr="009058BA">
        <w:rPr>
          <w:rFonts w:asciiTheme="majorBidi" w:eastAsia="Times New Roman" w:hAnsiTheme="majorBidi" w:cstheme="majorBidi"/>
          <w:b/>
          <w:bCs/>
          <w:color w:val="985735"/>
          <w:sz w:val="40"/>
          <w:szCs w:val="40"/>
        </w:rPr>
        <w:t>Predisposing factors for vancomycin-induced AKI</w:t>
      </w:r>
    </w:p>
    <w:p w:rsidR="00AB7588" w:rsidRPr="009058BA" w:rsidRDefault="00AB7588" w:rsidP="009058BA">
      <w:pPr>
        <w:shd w:val="clear" w:color="auto" w:fill="FFFFFF"/>
        <w:spacing w:before="166" w:after="166" w:line="240" w:lineRule="auto"/>
        <w:jc w:val="both"/>
        <w:rPr>
          <w:rFonts w:asciiTheme="majorBidi" w:eastAsia="Times New Roman" w:hAnsiTheme="majorBidi" w:cstheme="majorBidi"/>
          <w:color w:val="000000"/>
          <w:sz w:val="32"/>
          <w:szCs w:val="32"/>
        </w:rPr>
      </w:pPr>
      <w:r w:rsidRPr="009058BA">
        <w:rPr>
          <w:rFonts w:asciiTheme="majorBidi" w:eastAsia="Times New Roman" w:hAnsiTheme="majorBidi" w:cstheme="majorBidi"/>
          <w:color w:val="000000"/>
          <w:sz w:val="32"/>
          <w:szCs w:val="32"/>
        </w:rPr>
        <w:t>Recent studies on vancomycin-related AKI frequently suggest that increase in the total amount of drug exposure as measured by plasma trough concentration; area under the curve (AUC) or duration of treatment is the principal determinant of nephrotoxicity. Other risk factors are pre-existing renal impairment, concurrent administration of nephrotoxic agents and its use in high-risk populations including those with obesity, and in the treatment of deep visceral infections.</w:t>
      </w:r>
    </w:p>
    <w:p w:rsidR="00AB7588" w:rsidRPr="009058BA" w:rsidRDefault="00AB7588" w:rsidP="009058BA">
      <w:pPr>
        <w:shd w:val="clear" w:color="auto" w:fill="FFFFFF"/>
        <w:spacing w:before="308" w:after="154" w:line="300" w:lineRule="atLeast"/>
        <w:jc w:val="both"/>
        <w:outlineLvl w:val="2"/>
        <w:rPr>
          <w:rFonts w:asciiTheme="majorBidi" w:eastAsia="Times New Roman" w:hAnsiTheme="majorBidi" w:cstheme="majorBidi"/>
          <w:b/>
          <w:bCs/>
          <w:color w:val="724128"/>
          <w:sz w:val="40"/>
          <w:szCs w:val="40"/>
        </w:rPr>
      </w:pPr>
      <w:r w:rsidRPr="009058BA">
        <w:rPr>
          <w:rFonts w:asciiTheme="majorBidi" w:eastAsia="Times New Roman" w:hAnsiTheme="majorBidi" w:cstheme="majorBidi"/>
          <w:b/>
          <w:bCs/>
          <w:color w:val="724128"/>
          <w:sz w:val="40"/>
          <w:szCs w:val="40"/>
        </w:rPr>
        <w:t>Vancomycin exposure: higher doses</w:t>
      </w:r>
    </w:p>
    <w:p w:rsidR="00AB7588" w:rsidRPr="009058BA" w:rsidRDefault="00AB7588" w:rsidP="009058BA">
      <w:pPr>
        <w:shd w:val="clear" w:color="auto" w:fill="FFFFFF"/>
        <w:spacing w:before="166" w:after="166" w:line="240" w:lineRule="auto"/>
        <w:jc w:val="both"/>
        <w:rPr>
          <w:rFonts w:asciiTheme="majorBidi" w:eastAsia="Times New Roman" w:hAnsiTheme="majorBidi" w:cstheme="majorBidi"/>
          <w:color w:val="000000"/>
          <w:sz w:val="32"/>
          <w:szCs w:val="32"/>
        </w:rPr>
      </w:pPr>
      <w:r w:rsidRPr="009058BA">
        <w:rPr>
          <w:rFonts w:asciiTheme="majorBidi" w:eastAsia="Times New Roman" w:hAnsiTheme="majorBidi" w:cstheme="majorBidi"/>
          <w:color w:val="000000"/>
          <w:sz w:val="32"/>
          <w:szCs w:val="32"/>
        </w:rPr>
        <w:t xml:space="preserve">Although it has been difficult to demonstrate a direct renal injury attributed to vancomycin when given in lower doses in the past, there is consistent evidence that aggressive dosing aimed at curbing the trend of reducing microbial sensitivity is associated with higher incidence of AKI </w:t>
      </w:r>
      <w:proofErr w:type="gramStart"/>
      <w:r w:rsidRPr="009058BA">
        <w:rPr>
          <w:rFonts w:asciiTheme="majorBidi" w:eastAsia="Times New Roman" w:hAnsiTheme="majorBidi" w:cstheme="majorBidi"/>
          <w:color w:val="000000"/>
          <w:sz w:val="32"/>
          <w:szCs w:val="32"/>
        </w:rPr>
        <w:t>[</w:t>
      </w:r>
      <w:hyperlink r:id="rId34" w:anchor="bibr35-2042018816638223" w:history="1">
        <w:r w:rsidRPr="009058BA">
          <w:rPr>
            <w:rFonts w:asciiTheme="majorBidi" w:eastAsia="Times New Roman" w:hAnsiTheme="majorBidi" w:cstheme="majorBidi"/>
            <w:color w:val="2F4A8B"/>
            <w:sz w:val="32"/>
            <w:szCs w:val="32"/>
            <w:u w:val="single"/>
          </w:rPr>
          <w:t>Hanrahan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2015</w:t>
        </w:r>
      </w:hyperlink>
      <w:r w:rsidRPr="009058BA">
        <w:rPr>
          <w:rFonts w:asciiTheme="majorBidi" w:eastAsia="Times New Roman" w:hAnsiTheme="majorBidi" w:cstheme="majorBidi"/>
          <w:color w:val="000000"/>
          <w:sz w:val="32"/>
          <w:szCs w:val="32"/>
        </w:rPr>
        <w:t>; </w:t>
      </w:r>
      <w:hyperlink r:id="rId35" w:anchor="bibr28-2042018816638223" w:history="1">
        <w:r w:rsidRPr="009058BA">
          <w:rPr>
            <w:rFonts w:asciiTheme="majorBidi" w:eastAsia="Times New Roman" w:hAnsiTheme="majorBidi" w:cstheme="majorBidi"/>
            <w:color w:val="2F4A8B"/>
            <w:sz w:val="32"/>
            <w:szCs w:val="32"/>
            <w:u w:val="single"/>
          </w:rPr>
          <w:t>Elyasi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2012</w:t>
        </w:r>
      </w:hyperlink>
      <w:r w:rsidRPr="009058BA">
        <w:rPr>
          <w:rFonts w:asciiTheme="majorBidi" w:eastAsia="Times New Roman" w:hAnsiTheme="majorBidi" w:cstheme="majorBidi"/>
          <w:color w:val="000000"/>
          <w:sz w:val="32"/>
          <w:szCs w:val="32"/>
        </w:rPr>
        <w:t>; </w:t>
      </w:r>
      <w:hyperlink r:id="rId36" w:anchor="bibr41-2042018816638223" w:history="1">
        <w:r w:rsidRPr="009058BA">
          <w:rPr>
            <w:rFonts w:asciiTheme="majorBidi" w:eastAsia="Times New Roman" w:hAnsiTheme="majorBidi" w:cstheme="majorBidi"/>
            <w:color w:val="2F4A8B"/>
            <w:sz w:val="32"/>
            <w:szCs w:val="32"/>
            <w:u w:val="single"/>
          </w:rPr>
          <w:t>Horey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2012</w:t>
        </w:r>
      </w:hyperlink>
      <w:r w:rsidRPr="009058BA">
        <w:rPr>
          <w:rFonts w:asciiTheme="majorBidi" w:eastAsia="Times New Roman" w:hAnsiTheme="majorBidi" w:cstheme="majorBidi"/>
          <w:color w:val="000000"/>
          <w:sz w:val="32"/>
          <w:szCs w:val="32"/>
        </w:rPr>
        <w:t>; </w:t>
      </w:r>
      <w:hyperlink r:id="rId37" w:anchor="bibr11-2042018816638223" w:history="1">
        <w:r w:rsidRPr="009058BA">
          <w:rPr>
            <w:rFonts w:asciiTheme="majorBidi" w:eastAsia="Times New Roman" w:hAnsiTheme="majorBidi" w:cstheme="majorBidi"/>
            <w:color w:val="2F4A8B"/>
            <w:sz w:val="32"/>
            <w:szCs w:val="32"/>
            <w:u w:val="single"/>
          </w:rPr>
          <w:t>Cano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2012</w:t>
        </w:r>
      </w:hyperlink>
      <w:r w:rsidRPr="009058BA">
        <w:rPr>
          <w:rFonts w:asciiTheme="majorBidi" w:eastAsia="Times New Roman" w:hAnsiTheme="majorBidi" w:cstheme="majorBidi"/>
          <w:color w:val="000000"/>
          <w:sz w:val="32"/>
          <w:szCs w:val="32"/>
        </w:rPr>
        <w:t>].</w:t>
      </w:r>
      <w:proofErr w:type="gramEnd"/>
      <w:r w:rsidRPr="009058BA">
        <w:rPr>
          <w:rFonts w:asciiTheme="majorBidi" w:eastAsia="Times New Roman" w:hAnsiTheme="majorBidi" w:cstheme="majorBidi"/>
          <w:color w:val="000000"/>
          <w:sz w:val="32"/>
          <w:szCs w:val="32"/>
        </w:rPr>
        <w:t xml:space="preserve"> In a review of the literature by Elyasi and colleagues, vancomycin renal toxicity had a range of 10–20% in patients using conventional doses while the range was 30–40% for those treated with higher doses (10–20 mg/l) [</w:t>
      </w:r>
      <w:hyperlink r:id="rId38" w:anchor="bibr28-2042018816638223" w:history="1">
        <w:r w:rsidRPr="009058BA">
          <w:rPr>
            <w:rFonts w:asciiTheme="majorBidi" w:eastAsia="Times New Roman" w:hAnsiTheme="majorBidi" w:cstheme="majorBidi"/>
            <w:color w:val="2F4A8B"/>
            <w:sz w:val="32"/>
            <w:szCs w:val="32"/>
            <w:u w:val="single"/>
          </w:rPr>
          <w:t>Elyasi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2012</w:t>
        </w:r>
      </w:hyperlink>
      <w:r w:rsidRPr="009058BA">
        <w:rPr>
          <w:rFonts w:asciiTheme="majorBidi" w:eastAsia="Times New Roman" w:hAnsiTheme="majorBidi" w:cstheme="majorBidi"/>
          <w:color w:val="000000"/>
          <w:sz w:val="32"/>
          <w:szCs w:val="32"/>
        </w:rPr>
        <w:t xml:space="preserve">]. Similarly, in a retrospective study by Hanrahan and colleagues, 8.8% of 159 critically ill patients receiving vancomycin had a new-onset AKI as defined by RIFLE </w:t>
      </w:r>
      <w:proofErr w:type="gramStart"/>
      <w:r w:rsidRPr="009058BA">
        <w:rPr>
          <w:rFonts w:asciiTheme="majorBidi" w:eastAsia="Times New Roman" w:hAnsiTheme="majorBidi" w:cstheme="majorBidi"/>
          <w:color w:val="000000"/>
          <w:sz w:val="32"/>
          <w:szCs w:val="32"/>
        </w:rPr>
        <w:t>criteria.</w:t>
      </w:r>
      <w:proofErr w:type="gramEnd"/>
      <w:r w:rsidRPr="009058BA">
        <w:rPr>
          <w:rFonts w:asciiTheme="majorBidi" w:eastAsia="Times New Roman" w:hAnsiTheme="majorBidi" w:cstheme="majorBidi"/>
          <w:color w:val="000000"/>
          <w:sz w:val="32"/>
          <w:szCs w:val="32"/>
        </w:rPr>
        <w:t xml:space="preserve"> The plasma trough level of vancomycin was a major correlate of nephrotoxicity [</w:t>
      </w:r>
      <w:hyperlink r:id="rId39" w:anchor="bibr35-2042018816638223" w:history="1">
        <w:r w:rsidRPr="009058BA">
          <w:rPr>
            <w:rFonts w:asciiTheme="majorBidi" w:eastAsia="Times New Roman" w:hAnsiTheme="majorBidi" w:cstheme="majorBidi"/>
            <w:color w:val="2F4A8B"/>
            <w:sz w:val="32"/>
            <w:szCs w:val="32"/>
            <w:u w:val="single"/>
          </w:rPr>
          <w:t>Hanrahan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2015</w:t>
        </w:r>
      </w:hyperlink>
      <w:r w:rsidRPr="009058BA">
        <w:rPr>
          <w:rFonts w:asciiTheme="majorBidi" w:eastAsia="Times New Roman" w:hAnsiTheme="majorBidi" w:cstheme="majorBidi"/>
          <w:color w:val="000000"/>
          <w:sz w:val="32"/>
          <w:szCs w:val="32"/>
        </w:rPr>
        <w:t>]. Implying a causal association, there is also a linear relationship between higher events of AKI and a graded plasma trough concentrations [</w:t>
      </w:r>
      <w:hyperlink r:id="rId40" w:anchor="bibr41-2042018816638223" w:history="1">
        <w:r w:rsidRPr="009058BA">
          <w:rPr>
            <w:rFonts w:asciiTheme="majorBidi" w:eastAsia="Times New Roman" w:hAnsiTheme="majorBidi" w:cstheme="majorBidi"/>
            <w:color w:val="2F4A8B"/>
            <w:sz w:val="32"/>
            <w:szCs w:val="32"/>
            <w:u w:val="single"/>
          </w:rPr>
          <w:t>Horey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2012</w:t>
        </w:r>
      </w:hyperlink>
      <w:r w:rsidRPr="009058BA">
        <w:rPr>
          <w:rFonts w:asciiTheme="majorBidi" w:eastAsia="Times New Roman" w:hAnsiTheme="majorBidi" w:cstheme="majorBidi"/>
          <w:color w:val="000000"/>
          <w:sz w:val="32"/>
          <w:szCs w:val="32"/>
        </w:rPr>
        <w:t>]. Thus there was 3.1%, 10.6%, 23.6% and 81.8% incidence of AKI for those with trough levels of 10–15, 15–20, 20–35 and greater than 35 mg/l, respectively [</w:t>
      </w:r>
      <w:hyperlink r:id="rId41" w:anchor="bibr41-2042018816638223" w:history="1">
        <w:r w:rsidRPr="009058BA">
          <w:rPr>
            <w:rFonts w:asciiTheme="majorBidi" w:eastAsia="Times New Roman" w:hAnsiTheme="majorBidi" w:cstheme="majorBidi"/>
            <w:color w:val="2F4A8B"/>
            <w:sz w:val="32"/>
            <w:szCs w:val="32"/>
            <w:u w:val="single"/>
          </w:rPr>
          <w:t>Horey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2012</w:t>
        </w:r>
      </w:hyperlink>
      <w:r w:rsidRPr="009058BA">
        <w:rPr>
          <w:rFonts w:asciiTheme="majorBidi" w:eastAsia="Times New Roman" w:hAnsiTheme="majorBidi" w:cstheme="majorBidi"/>
          <w:color w:val="000000"/>
          <w:sz w:val="32"/>
          <w:szCs w:val="32"/>
        </w:rPr>
        <w:t>]. In addition, individuals with greater plasma concentration had a more rapid onset of AKI: for trough greater than 20 mg/l the mean duration was 7.4 days and for levels less than 15 mg/; the mean period of onset was 8.8 days [</w:t>
      </w:r>
      <w:hyperlink r:id="rId42" w:anchor="bibr11-2042018816638223" w:history="1">
        <w:r w:rsidRPr="009058BA">
          <w:rPr>
            <w:rFonts w:asciiTheme="majorBidi" w:eastAsia="Times New Roman" w:hAnsiTheme="majorBidi" w:cstheme="majorBidi"/>
            <w:color w:val="2F4A8B"/>
            <w:sz w:val="32"/>
            <w:szCs w:val="32"/>
            <w:u w:val="single"/>
          </w:rPr>
          <w:t>Cano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2012</w:t>
        </w:r>
      </w:hyperlink>
      <w:r w:rsidRPr="009058BA">
        <w:rPr>
          <w:rFonts w:asciiTheme="majorBidi" w:eastAsia="Times New Roman" w:hAnsiTheme="majorBidi" w:cstheme="majorBidi"/>
          <w:color w:val="000000"/>
          <w:sz w:val="32"/>
          <w:szCs w:val="32"/>
        </w:rPr>
        <w:t>].</w:t>
      </w:r>
    </w:p>
    <w:p w:rsidR="00AB7588" w:rsidRDefault="00AB7588" w:rsidP="009058BA">
      <w:pPr>
        <w:shd w:val="clear" w:color="auto" w:fill="FFFFFF"/>
        <w:spacing w:before="166" w:after="166" w:line="240" w:lineRule="auto"/>
        <w:jc w:val="both"/>
        <w:rPr>
          <w:rFonts w:ascii="Times New Roman" w:eastAsia="Times New Roman" w:hAnsi="Times New Roman" w:cs="Times New Roman"/>
          <w:color w:val="000000"/>
          <w:sz w:val="25"/>
          <w:szCs w:val="25"/>
        </w:rPr>
      </w:pPr>
      <w:r w:rsidRPr="009058BA">
        <w:rPr>
          <w:rFonts w:asciiTheme="majorBidi" w:eastAsia="Times New Roman" w:hAnsiTheme="majorBidi" w:cstheme="majorBidi"/>
          <w:color w:val="000000"/>
          <w:sz w:val="32"/>
          <w:szCs w:val="32"/>
        </w:rPr>
        <w:t>Furthermore, in a study by Lodise and colleagues, a daily dose of vancomycin in excess of 4 g increases the likelihood of AKI by more than threefold [</w:t>
      </w:r>
      <w:hyperlink r:id="rId43" w:anchor="bibr51-2042018816638223" w:history="1">
        <w:r w:rsidRPr="009058BA">
          <w:rPr>
            <w:rFonts w:asciiTheme="majorBidi" w:eastAsia="Times New Roman" w:hAnsiTheme="majorBidi" w:cstheme="majorBidi"/>
            <w:color w:val="2F4A8B"/>
            <w:sz w:val="32"/>
            <w:szCs w:val="32"/>
            <w:u w:val="single"/>
          </w:rPr>
          <w:t>Lodise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2008</w:t>
        </w:r>
      </w:hyperlink>
      <w:r w:rsidRPr="009058BA">
        <w:rPr>
          <w:rFonts w:asciiTheme="majorBidi" w:eastAsia="Times New Roman" w:hAnsiTheme="majorBidi" w:cstheme="majorBidi"/>
          <w:color w:val="000000"/>
          <w:sz w:val="32"/>
          <w:szCs w:val="32"/>
        </w:rPr>
        <w:t>]. Perhaps demonstrating the strength of the dose–toxicity relationship, there are several case reports of inadvertent use of a supranormal dose of vancomycin that led to severe AKI [</w:t>
      </w:r>
      <w:hyperlink r:id="rId44" w:anchor="bibr83-2042018816638223" w:history="1">
        <w:r w:rsidRPr="009058BA">
          <w:rPr>
            <w:rFonts w:asciiTheme="majorBidi" w:eastAsia="Times New Roman" w:hAnsiTheme="majorBidi" w:cstheme="majorBidi"/>
            <w:color w:val="2F4A8B"/>
            <w:sz w:val="32"/>
            <w:szCs w:val="32"/>
            <w:u w:val="single"/>
          </w:rPr>
          <w:t>Stidham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2011</w:t>
        </w:r>
      </w:hyperlink>
      <w:r w:rsidRPr="009058BA">
        <w:rPr>
          <w:rFonts w:asciiTheme="majorBidi" w:eastAsia="Times New Roman" w:hAnsiTheme="majorBidi" w:cstheme="majorBidi"/>
          <w:color w:val="000000"/>
          <w:sz w:val="32"/>
          <w:szCs w:val="32"/>
        </w:rPr>
        <w:t>; </w:t>
      </w:r>
      <w:hyperlink r:id="rId45" w:anchor="bibr5-2042018816638223" w:history="1">
        <w:r w:rsidRPr="009058BA">
          <w:rPr>
            <w:rFonts w:asciiTheme="majorBidi" w:eastAsia="Times New Roman" w:hAnsiTheme="majorBidi" w:cstheme="majorBidi"/>
            <w:color w:val="2F4A8B"/>
            <w:sz w:val="32"/>
            <w:szCs w:val="32"/>
            <w:u w:val="single"/>
          </w:rPr>
          <w:t>Barraclough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2007</w:t>
        </w:r>
      </w:hyperlink>
      <w:r w:rsidRPr="009058BA">
        <w:rPr>
          <w:rFonts w:asciiTheme="majorBidi" w:eastAsia="Times New Roman" w:hAnsiTheme="majorBidi" w:cstheme="majorBidi"/>
          <w:color w:val="000000"/>
          <w:sz w:val="32"/>
          <w:szCs w:val="32"/>
        </w:rPr>
        <w:t>; </w:t>
      </w:r>
      <w:hyperlink r:id="rId46" w:anchor="bibr88-2042018816638223" w:history="1">
        <w:r w:rsidRPr="009058BA">
          <w:rPr>
            <w:rFonts w:asciiTheme="majorBidi" w:eastAsia="Times New Roman" w:hAnsiTheme="majorBidi" w:cstheme="majorBidi"/>
            <w:color w:val="2F4A8B"/>
            <w:sz w:val="32"/>
            <w:szCs w:val="32"/>
            <w:u w:val="single"/>
          </w:rPr>
          <w:t>Wicklow </w:t>
        </w:r>
        <w:r w:rsidRPr="009058BA">
          <w:rPr>
            <w:rFonts w:asciiTheme="majorBidi" w:eastAsia="Times New Roman" w:hAnsiTheme="majorBidi" w:cstheme="majorBidi"/>
            <w:i/>
            <w:iCs/>
            <w:color w:val="2F4A8B"/>
            <w:sz w:val="32"/>
            <w:szCs w:val="32"/>
            <w:u w:val="single"/>
          </w:rPr>
          <w:t>et al</w:t>
        </w:r>
        <w:r w:rsidRPr="009058BA">
          <w:rPr>
            <w:rFonts w:asciiTheme="majorBidi" w:eastAsia="Times New Roman" w:hAnsiTheme="majorBidi" w:cstheme="majorBidi"/>
            <w:color w:val="2F4A8B"/>
            <w:sz w:val="32"/>
            <w:szCs w:val="32"/>
            <w:u w:val="single"/>
          </w:rPr>
          <w:t>. 2006</w:t>
        </w:r>
      </w:hyperlink>
      <w:r w:rsidRPr="009058BA">
        <w:rPr>
          <w:rFonts w:asciiTheme="majorBidi" w:eastAsia="Times New Roman" w:hAnsiTheme="majorBidi" w:cstheme="majorBidi"/>
          <w:color w:val="000000"/>
          <w:sz w:val="32"/>
          <w:szCs w:val="32"/>
        </w:rPr>
        <w:t>]. In such events, the water solubility and the low protein binding of vancomycin facilitate its rapid removal by acute hemodialysis (HD) procedures. The author has two anecdotal experiences of teenage surgical patients with normal underlying renal function who were inadvertently given high doses of vancomycin that led to plasma trough levels of 54 and 115 mg/l respectively (not published). The former</w:t>
      </w:r>
      <w:r w:rsidRPr="00AB7588">
        <w:rPr>
          <w:rFonts w:ascii="Times New Roman" w:eastAsia="Times New Roman" w:hAnsi="Times New Roman" w:cs="Times New Roman"/>
          <w:color w:val="000000"/>
          <w:sz w:val="25"/>
          <w:szCs w:val="25"/>
        </w:rPr>
        <w:t xml:space="preserve"> also received a nonsteroidal anti-inflammatory agent for analgesia. In both cases, due to the severity of azotemia, discontinuation of vancomycin and prompt institution of daily HD sessions led to restoration of serum creatinine to the normal baseline values.</w:t>
      </w:r>
    </w:p>
    <w:p w:rsidR="009058BA" w:rsidRDefault="009058BA" w:rsidP="009058BA">
      <w:pPr>
        <w:shd w:val="clear" w:color="auto" w:fill="FFFFFF"/>
        <w:spacing w:before="166" w:after="166" w:line="240" w:lineRule="auto"/>
        <w:jc w:val="both"/>
        <w:rPr>
          <w:rFonts w:ascii="Times New Roman" w:eastAsia="Times New Roman" w:hAnsi="Times New Roman" w:cs="Times New Roman"/>
          <w:color w:val="000000"/>
          <w:sz w:val="25"/>
          <w:szCs w:val="25"/>
        </w:rPr>
      </w:pPr>
    </w:p>
    <w:p w:rsidR="009058BA" w:rsidRPr="00AB7588" w:rsidRDefault="009058BA" w:rsidP="009058BA">
      <w:pPr>
        <w:shd w:val="clear" w:color="auto" w:fill="FFFFFF"/>
        <w:spacing w:before="166" w:after="166" w:line="240" w:lineRule="auto"/>
        <w:jc w:val="both"/>
        <w:rPr>
          <w:rFonts w:ascii="Times New Roman" w:eastAsia="Times New Roman" w:hAnsi="Times New Roman" w:cs="Times New Roman"/>
          <w:color w:val="000000"/>
          <w:sz w:val="25"/>
          <w:szCs w:val="25"/>
        </w:rPr>
      </w:pPr>
    </w:p>
    <w:p w:rsidR="00AB7588" w:rsidRPr="00AB7588" w:rsidRDefault="00AB7588" w:rsidP="00AB7588">
      <w:pPr>
        <w:shd w:val="clear" w:color="auto" w:fill="FFFFFF"/>
        <w:spacing w:before="308" w:after="154" w:line="300" w:lineRule="atLeast"/>
        <w:outlineLvl w:val="2"/>
        <w:rPr>
          <w:rFonts w:ascii="Arial" w:eastAsia="Times New Roman" w:hAnsi="Arial" w:cs="Arial"/>
          <w:b/>
          <w:bCs/>
          <w:color w:val="724128"/>
          <w:sz w:val="25"/>
          <w:szCs w:val="25"/>
        </w:rPr>
      </w:pPr>
      <w:r w:rsidRPr="00AB7588">
        <w:rPr>
          <w:rFonts w:ascii="Arial" w:eastAsia="Times New Roman" w:hAnsi="Arial" w:cs="Arial"/>
          <w:b/>
          <w:bCs/>
          <w:color w:val="724128"/>
          <w:sz w:val="25"/>
          <w:szCs w:val="25"/>
        </w:rPr>
        <w:t>Vancomycin exposure: longer duration</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Studies have also demonstrated the strong relationship between AKI and other similar measures of vancomycin exposure. In this regard, longer duration of therapy exceeding 7 days correlate with higher risk of nephrotoxicity in multiple studies [</w:t>
      </w:r>
      <w:hyperlink r:id="rId47" w:anchor="bibr35-2042018816638223" w:history="1">
        <w:r w:rsidRPr="00AB7588">
          <w:rPr>
            <w:rFonts w:ascii="Times New Roman" w:eastAsia="Times New Roman" w:hAnsi="Times New Roman" w:cs="Times New Roman"/>
            <w:color w:val="2F4A8B"/>
            <w:sz w:val="25"/>
            <w:szCs w:val="25"/>
            <w:u w:val="single"/>
          </w:rPr>
          <w:t>Hanrahan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48" w:anchor="bibr11-2042018816638223" w:history="1">
        <w:r w:rsidRPr="00AB7588">
          <w:rPr>
            <w:rFonts w:ascii="Times New Roman" w:eastAsia="Times New Roman" w:hAnsi="Times New Roman" w:cs="Times New Roman"/>
            <w:color w:val="2F4A8B"/>
            <w:sz w:val="25"/>
            <w:szCs w:val="25"/>
            <w:u w:val="single"/>
          </w:rPr>
          <w:t>Cano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2012</w:t>
        </w:r>
      </w:hyperlink>
      <w:r w:rsidRPr="00AB7588">
        <w:rPr>
          <w:rFonts w:ascii="Times New Roman" w:eastAsia="Times New Roman" w:hAnsi="Times New Roman" w:cs="Times New Roman"/>
          <w:color w:val="000000"/>
          <w:sz w:val="25"/>
          <w:szCs w:val="25"/>
        </w:rPr>
        <w:t>; </w:t>
      </w:r>
      <w:hyperlink r:id="rId49" w:anchor="bibr89-2042018816638223" w:history="1">
        <w:r w:rsidRPr="00AB7588">
          <w:rPr>
            <w:rFonts w:ascii="Times New Roman" w:eastAsia="Times New Roman" w:hAnsi="Times New Roman" w:cs="Times New Roman"/>
            <w:color w:val="2F4A8B"/>
            <w:sz w:val="25"/>
            <w:szCs w:val="25"/>
            <w:u w:val="single"/>
          </w:rPr>
          <w:t>Wong-Beringer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 </w:t>
      </w:r>
      <w:hyperlink r:id="rId50" w:anchor="bibr87-2042018816638223" w:history="1">
        <w:r w:rsidRPr="00AB7588">
          <w:rPr>
            <w:rFonts w:ascii="Times New Roman" w:eastAsia="Times New Roman" w:hAnsi="Times New Roman" w:cs="Times New Roman"/>
            <w:color w:val="2F4A8B"/>
            <w:sz w:val="25"/>
            <w:szCs w:val="25"/>
            <w:u w:val="single"/>
          </w:rPr>
          <w:t>van Hal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2013</w:t>
        </w:r>
      </w:hyperlink>
      <w:r w:rsidRPr="00AB7588">
        <w:rPr>
          <w:rFonts w:ascii="Times New Roman" w:eastAsia="Times New Roman" w:hAnsi="Times New Roman" w:cs="Times New Roman"/>
          <w:color w:val="000000"/>
          <w:sz w:val="25"/>
          <w:szCs w:val="25"/>
        </w:rPr>
        <w:t>; </w:t>
      </w:r>
      <w:hyperlink r:id="rId51" w:anchor="bibr18-2042018816638223" w:history="1">
        <w:r w:rsidRPr="00AB7588">
          <w:rPr>
            <w:rFonts w:ascii="Times New Roman" w:eastAsia="Times New Roman" w:hAnsi="Times New Roman" w:cs="Times New Roman"/>
            <w:color w:val="2F4A8B"/>
            <w:sz w:val="25"/>
            <w:szCs w:val="25"/>
            <w:u w:val="single"/>
          </w:rPr>
          <w:t>Contreiras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2014</w:t>
        </w:r>
      </w:hyperlink>
      <w:r w:rsidRPr="00AB7588">
        <w:rPr>
          <w:rFonts w:ascii="Times New Roman" w:eastAsia="Times New Roman" w:hAnsi="Times New Roman" w:cs="Times New Roman"/>
          <w:color w:val="000000"/>
          <w:sz w:val="25"/>
          <w:szCs w:val="25"/>
        </w:rPr>
        <w:t>]. In one of these studies, there was 12% greater incidence of AKI for each additional day of treatment with vancomycin [</w:t>
      </w:r>
      <w:hyperlink r:id="rId52" w:anchor="bibr11-2042018816638223" w:history="1">
        <w:r w:rsidRPr="00AB7588">
          <w:rPr>
            <w:rFonts w:ascii="Times New Roman" w:eastAsia="Times New Roman" w:hAnsi="Times New Roman" w:cs="Times New Roman"/>
            <w:color w:val="2F4A8B"/>
            <w:sz w:val="25"/>
            <w:szCs w:val="25"/>
            <w:u w:val="single"/>
          </w:rPr>
          <w:t>Cano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2012</w:t>
        </w:r>
      </w:hyperlink>
      <w:r w:rsidRPr="00AB7588">
        <w:rPr>
          <w:rFonts w:ascii="Times New Roman" w:eastAsia="Times New Roman" w:hAnsi="Times New Roman" w:cs="Times New Roman"/>
          <w:color w:val="000000"/>
          <w:sz w:val="25"/>
          <w:szCs w:val="25"/>
        </w:rPr>
        <w:t>]. In another study, 21% of the patients on high-dose therapy (trough 15–20 mg/l) for more than 1 week, and 30% of those treated for more than 2 weeks sustained nephrotoxicity [</w:t>
      </w:r>
      <w:hyperlink r:id="rId53" w:anchor="bibr38-2042018816638223" w:history="1">
        <w:r w:rsidRPr="00AB7588">
          <w:rPr>
            <w:rFonts w:ascii="Times New Roman" w:eastAsia="Times New Roman" w:hAnsi="Times New Roman" w:cs="Times New Roman"/>
            <w:color w:val="2F4A8B"/>
            <w:sz w:val="25"/>
            <w:szCs w:val="25"/>
            <w:u w:val="single"/>
          </w:rPr>
          <w:t>Hidayat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2006</w:t>
        </w:r>
      </w:hyperlink>
      <w:r w:rsidRPr="00AB7588">
        <w:rPr>
          <w:rFonts w:ascii="Times New Roman" w:eastAsia="Times New Roman" w:hAnsi="Times New Roman" w:cs="Times New Roman"/>
          <w:color w:val="000000"/>
          <w:sz w:val="25"/>
          <w:szCs w:val="25"/>
        </w:rPr>
        <w:t>]. None of the patients on low-dose vancomycin (&lt;15 mg/l) had AKI.</w:t>
      </w:r>
    </w:p>
    <w:p w:rsidR="00AB7588" w:rsidRPr="00AB7588" w:rsidRDefault="00AB7588" w:rsidP="00AB7588">
      <w:pPr>
        <w:shd w:val="clear" w:color="auto" w:fill="FFFFFF"/>
        <w:spacing w:before="308" w:after="154" w:line="300" w:lineRule="atLeast"/>
        <w:outlineLvl w:val="2"/>
        <w:rPr>
          <w:rFonts w:ascii="Arial" w:eastAsia="Times New Roman" w:hAnsi="Arial" w:cs="Arial"/>
          <w:b/>
          <w:bCs/>
          <w:color w:val="724128"/>
          <w:sz w:val="25"/>
          <w:szCs w:val="25"/>
        </w:rPr>
      </w:pPr>
      <w:r w:rsidRPr="00AB7588">
        <w:rPr>
          <w:rFonts w:ascii="Arial" w:eastAsia="Times New Roman" w:hAnsi="Arial" w:cs="Arial"/>
          <w:b/>
          <w:bCs/>
          <w:color w:val="724128"/>
          <w:sz w:val="25"/>
          <w:szCs w:val="25"/>
        </w:rPr>
        <w:t>Vancomycin exposure: impaired glomerular filtration</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Susceptibility to vancomycin renal toxicity is profoundly affected by clinical events that compromise glomerular filtration. Hence severity of acute illness [Acute Physiology and Chronic Health Evaluation (APACHE) II score], hemodynamic instability, and concurrent administration of nephrotoxic agents are recognized strong determinants of AKI [</w:t>
      </w:r>
      <w:hyperlink r:id="rId54" w:anchor="bibr35-2042018816638223" w:history="1">
        <w:r w:rsidRPr="00AB7588">
          <w:rPr>
            <w:rFonts w:ascii="Times New Roman" w:eastAsia="Times New Roman" w:hAnsi="Times New Roman" w:cs="Times New Roman"/>
            <w:color w:val="2F4A8B"/>
            <w:sz w:val="25"/>
            <w:szCs w:val="25"/>
            <w:u w:val="single"/>
          </w:rPr>
          <w:t>Hanrahan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55" w:anchor="bibr41-2042018816638223" w:history="1">
        <w:r w:rsidRPr="00AB7588">
          <w:rPr>
            <w:rFonts w:ascii="Times New Roman" w:eastAsia="Times New Roman" w:hAnsi="Times New Roman" w:cs="Times New Roman"/>
            <w:color w:val="2F4A8B"/>
            <w:sz w:val="25"/>
            <w:szCs w:val="25"/>
            <w:u w:val="single"/>
          </w:rPr>
          <w:t>Horey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2012</w:t>
        </w:r>
      </w:hyperlink>
      <w:r w:rsidRPr="00AB7588">
        <w:rPr>
          <w:rFonts w:ascii="Times New Roman" w:eastAsia="Times New Roman" w:hAnsi="Times New Roman" w:cs="Times New Roman"/>
          <w:color w:val="000000"/>
          <w:sz w:val="25"/>
          <w:szCs w:val="25"/>
        </w:rPr>
        <w:t>; </w:t>
      </w:r>
      <w:hyperlink r:id="rId56" w:anchor="bibr89-2042018816638223" w:history="1">
        <w:r w:rsidRPr="00AB7588">
          <w:rPr>
            <w:rFonts w:ascii="Times New Roman" w:eastAsia="Times New Roman" w:hAnsi="Times New Roman" w:cs="Times New Roman"/>
            <w:color w:val="2F4A8B"/>
            <w:sz w:val="25"/>
            <w:szCs w:val="25"/>
            <w:u w:val="single"/>
          </w:rPr>
          <w:t>Wong-Beringer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 In a retrospective study, there was 14% greater risk of VIN for those with higher APACHE II score while the concurrent use of aminoglycoside accounted for an 18-fold greater probability [</w:t>
      </w:r>
      <w:hyperlink r:id="rId57" w:anchor="bibr35-2042018816638223" w:history="1">
        <w:r w:rsidRPr="00AB7588">
          <w:rPr>
            <w:rFonts w:ascii="Times New Roman" w:eastAsia="Times New Roman" w:hAnsi="Times New Roman" w:cs="Times New Roman"/>
            <w:color w:val="2F4A8B"/>
            <w:sz w:val="25"/>
            <w:szCs w:val="25"/>
            <w:u w:val="single"/>
          </w:rPr>
          <w:t>Hanrahan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Despite correction of confounding variables in regression analysis, coadministration of other agents that worsen renal perfusion including loop diuretics, vasopressors, angiotensin-converting enzyme inhibitors, and nonsteroidal anti-inflammatory drugs also increased the odds of developing AKI by 43-, 18-, 5- and 19-fold respectively [</w:t>
      </w:r>
      <w:hyperlink r:id="rId58" w:anchor="bibr53-2042018816638223" w:history="1">
        <w:r w:rsidRPr="00AB7588">
          <w:rPr>
            <w:rFonts w:ascii="Times New Roman" w:eastAsia="Times New Roman" w:hAnsi="Times New Roman" w:cs="Times New Roman"/>
            <w:color w:val="2F4A8B"/>
            <w:sz w:val="25"/>
            <w:szCs w:val="25"/>
            <w:u w:val="single"/>
          </w:rPr>
          <w:t>Matson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The major shortcoming of these studies is the inability to deduce if there is causal association given that data on trough level of vancomycin were obtained in parallel with the incidence of AKI. However, these findings were corroborated by studies in which trough concentration was measured prior to the estimation of serum creatinine [</w:t>
      </w:r>
      <w:hyperlink r:id="rId59" w:anchor="bibr11-2042018816638223" w:history="1">
        <w:r w:rsidRPr="00AB7588">
          <w:rPr>
            <w:rFonts w:ascii="Times New Roman" w:eastAsia="Times New Roman" w:hAnsi="Times New Roman" w:cs="Times New Roman"/>
            <w:color w:val="2F4A8B"/>
            <w:sz w:val="25"/>
            <w:szCs w:val="25"/>
            <w:u w:val="single"/>
          </w:rPr>
          <w:t>Cano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2012</w:t>
        </w:r>
      </w:hyperlink>
      <w:r w:rsidRPr="00AB7588">
        <w:rPr>
          <w:rFonts w:ascii="Times New Roman" w:eastAsia="Times New Roman" w:hAnsi="Times New Roman" w:cs="Times New Roman"/>
          <w:color w:val="000000"/>
          <w:sz w:val="25"/>
          <w:szCs w:val="25"/>
        </w:rPr>
        <w:t>; </w:t>
      </w:r>
      <w:hyperlink r:id="rId60" w:anchor="bibr87-2042018816638223" w:history="1">
        <w:r w:rsidRPr="00AB7588">
          <w:rPr>
            <w:rFonts w:ascii="Times New Roman" w:eastAsia="Times New Roman" w:hAnsi="Times New Roman" w:cs="Times New Roman"/>
            <w:color w:val="2F4A8B"/>
            <w:sz w:val="25"/>
            <w:szCs w:val="25"/>
            <w:u w:val="single"/>
          </w:rPr>
          <w:t>van Hal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2013</w:t>
        </w:r>
      </w:hyperlink>
      <w:r w:rsidRPr="00AB7588">
        <w:rPr>
          <w:rFonts w:ascii="Times New Roman" w:eastAsia="Times New Roman" w:hAnsi="Times New Roman" w:cs="Times New Roman"/>
          <w:color w:val="000000"/>
          <w:sz w:val="25"/>
          <w:szCs w:val="25"/>
        </w:rPr>
        <w:t>]. After accounting for the temporal effect, the incidence of AKI was 21–28% in patients with other risk profiles compared with 7% in those lacking additional renal risk [</w:t>
      </w:r>
      <w:hyperlink r:id="rId61" w:anchor="bibr89-2042018816638223" w:history="1">
        <w:r w:rsidRPr="00AB7588">
          <w:rPr>
            <w:rFonts w:ascii="Times New Roman" w:eastAsia="Times New Roman" w:hAnsi="Times New Roman" w:cs="Times New Roman"/>
            <w:color w:val="2F4A8B"/>
            <w:sz w:val="25"/>
            <w:szCs w:val="25"/>
            <w:u w:val="single"/>
          </w:rPr>
          <w:t>Wong-Beringer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 In two similar studies corrected for this variable, the odds ratio for AKI among patients with vancomycin trough level at least 15 mg/l was 3.1 and 5.0 respectively [</w:t>
      </w:r>
      <w:hyperlink r:id="rId62" w:anchor="bibr11-2042018816638223" w:history="1">
        <w:r w:rsidRPr="00AB7588">
          <w:rPr>
            <w:rFonts w:ascii="Times New Roman" w:eastAsia="Times New Roman" w:hAnsi="Times New Roman" w:cs="Times New Roman"/>
            <w:color w:val="2F4A8B"/>
            <w:sz w:val="25"/>
            <w:szCs w:val="25"/>
            <w:u w:val="single"/>
          </w:rPr>
          <w:t>Cano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2012</w:t>
        </w:r>
      </w:hyperlink>
      <w:r w:rsidRPr="00AB7588">
        <w:rPr>
          <w:rFonts w:ascii="Times New Roman" w:eastAsia="Times New Roman" w:hAnsi="Times New Roman" w:cs="Times New Roman"/>
          <w:color w:val="000000"/>
          <w:sz w:val="25"/>
          <w:szCs w:val="25"/>
        </w:rPr>
        <w:t>; </w:t>
      </w:r>
      <w:hyperlink r:id="rId63" w:anchor="bibr87-2042018816638223" w:history="1">
        <w:r w:rsidRPr="00AB7588">
          <w:rPr>
            <w:rFonts w:ascii="Times New Roman" w:eastAsia="Times New Roman" w:hAnsi="Times New Roman" w:cs="Times New Roman"/>
            <w:color w:val="2F4A8B"/>
            <w:sz w:val="25"/>
            <w:szCs w:val="25"/>
            <w:u w:val="single"/>
          </w:rPr>
          <w:t>van Hal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2013</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308" w:after="154" w:line="300" w:lineRule="atLeast"/>
        <w:outlineLvl w:val="2"/>
        <w:rPr>
          <w:rFonts w:ascii="Arial" w:eastAsia="Times New Roman" w:hAnsi="Arial" w:cs="Arial"/>
          <w:b/>
          <w:bCs/>
          <w:color w:val="724128"/>
          <w:sz w:val="25"/>
          <w:szCs w:val="25"/>
        </w:rPr>
      </w:pPr>
      <w:r w:rsidRPr="00AB7588">
        <w:rPr>
          <w:rFonts w:ascii="Arial" w:eastAsia="Times New Roman" w:hAnsi="Arial" w:cs="Arial"/>
          <w:b/>
          <w:bCs/>
          <w:color w:val="724128"/>
          <w:sz w:val="25"/>
          <w:szCs w:val="25"/>
        </w:rPr>
        <w:t>Vancomycin exposure: synergism with nephrotoxic agents</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Although there is a low rate of renal toxicity with modest doses, vancomycin reduces the threshold for kidney injury while using other agents with potential nephrotoxicity. Such synergism has been observed with the combination of vancomycin and piperacillin–tazobactam [</w:t>
      </w:r>
      <w:hyperlink r:id="rId64" w:anchor="bibr8-2042018816638223" w:history="1">
        <w:r w:rsidRPr="00AB7588">
          <w:rPr>
            <w:rFonts w:ascii="Times New Roman" w:eastAsia="Times New Roman" w:hAnsi="Times New Roman" w:cs="Times New Roman"/>
            <w:color w:val="2F4A8B"/>
            <w:sz w:val="25"/>
            <w:szCs w:val="25"/>
            <w:u w:val="single"/>
          </w:rPr>
          <w:t>Burgess and Drew, 2014</w:t>
        </w:r>
      </w:hyperlink>
      <w:r w:rsidRPr="00AB7588">
        <w:rPr>
          <w:rFonts w:ascii="Times New Roman" w:eastAsia="Times New Roman" w:hAnsi="Times New Roman" w:cs="Times New Roman"/>
          <w:color w:val="000000"/>
          <w:sz w:val="25"/>
          <w:szCs w:val="25"/>
        </w:rPr>
        <w:t xml:space="preserve">]. In a retrospective cohort, 8% of 99 adults treated with vancomycin had AKI while combination with piperacillin–tazobactam accounted for 16.3%. Similarly, there is a threefold greater occurrence of AKI when this combination was compared with the controls </w:t>
      </w:r>
      <w:proofErr w:type="gramStart"/>
      <w:r w:rsidRPr="00AB7588">
        <w:rPr>
          <w:rFonts w:ascii="Times New Roman" w:eastAsia="Times New Roman" w:hAnsi="Times New Roman" w:cs="Times New Roman"/>
          <w:color w:val="000000"/>
          <w:sz w:val="25"/>
          <w:szCs w:val="25"/>
        </w:rPr>
        <w:t>who</w:t>
      </w:r>
      <w:proofErr w:type="gramEnd"/>
      <w:r w:rsidRPr="00AB7588">
        <w:rPr>
          <w:rFonts w:ascii="Times New Roman" w:eastAsia="Times New Roman" w:hAnsi="Times New Roman" w:cs="Times New Roman"/>
          <w:color w:val="000000"/>
          <w:sz w:val="25"/>
          <w:szCs w:val="25"/>
        </w:rPr>
        <w:t xml:space="preserve"> were treated with a concurrent cefepime [</w:t>
      </w:r>
      <w:hyperlink r:id="rId65" w:anchor="bibr31-2042018816638223" w:history="1">
        <w:r w:rsidRPr="00AB7588">
          <w:rPr>
            <w:rFonts w:ascii="Times New Roman" w:eastAsia="Times New Roman" w:hAnsi="Times New Roman" w:cs="Times New Roman"/>
            <w:color w:val="2F4A8B"/>
            <w:sz w:val="25"/>
            <w:szCs w:val="25"/>
            <w:u w:val="single"/>
          </w:rPr>
          <w:t>Gomes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2014</w:t>
        </w:r>
      </w:hyperlink>
      <w:r w:rsidRPr="00AB7588">
        <w:rPr>
          <w:rFonts w:ascii="Times New Roman" w:eastAsia="Times New Roman" w:hAnsi="Times New Roman" w:cs="Times New Roman"/>
          <w:color w:val="000000"/>
          <w:sz w:val="25"/>
          <w:szCs w:val="25"/>
        </w:rPr>
        <w:t>]. Furthermore, in a pediatric study, concurrent use of vancomycin with acyclovir, amphotericin B and piperacillin–tazobactam significantly increased the risk of AKI respectively [</w:t>
      </w:r>
      <w:hyperlink r:id="rId66" w:anchor="bibr48-2042018816638223" w:history="1">
        <w:r w:rsidRPr="00AB7588">
          <w:rPr>
            <w:rFonts w:ascii="Times New Roman" w:eastAsia="Times New Roman" w:hAnsi="Times New Roman" w:cs="Times New Roman"/>
            <w:color w:val="2F4A8B"/>
            <w:sz w:val="25"/>
            <w:szCs w:val="25"/>
            <w:u w:val="single"/>
          </w:rPr>
          <w:t>Knoderer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A major limitation of retrospective data is the uncertainty of the adverse renal impact while using other agents that were not part of the study. However, a similar pattern of results was realized in a prospective trial of 168 patients that compared three therapeutic modalities: AKI occurred in 5% of those treated with vancomycin, 22% of those who had vancomycin and aminoglycoside, and 11% of those treated with gentamicin only [</w:t>
      </w:r>
      <w:hyperlink r:id="rId67" w:anchor="bibr79-2042018816638223" w:history="1">
        <w:r w:rsidRPr="00AB7588">
          <w:rPr>
            <w:rFonts w:ascii="Times New Roman" w:eastAsia="Times New Roman" w:hAnsi="Times New Roman" w:cs="Times New Roman"/>
            <w:color w:val="2F4A8B"/>
            <w:sz w:val="25"/>
            <w:szCs w:val="25"/>
            <w:u w:val="single"/>
          </w:rPr>
          <w:t>Rybak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1990</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308" w:after="154" w:line="300" w:lineRule="atLeast"/>
        <w:outlineLvl w:val="2"/>
        <w:rPr>
          <w:rFonts w:ascii="Arial" w:eastAsia="Times New Roman" w:hAnsi="Arial" w:cs="Arial"/>
          <w:b/>
          <w:bCs/>
          <w:color w:val="724128"/>
          <w:sz w:val="25"/>
          <w:szCs w:val="25"/>
        </w:rPr>
      </w:pPr>
      <w:r w:rsidRPr="00AB7588">
        <w:rPr>
          <w:rFonts w:ascii="Arial" w:eastAsia="Times New Roman" w:hAnsi="Arial" w:cs="Arial"/>
          <w:b/>
          <w:bCs/>
          <w:color w:val="724128"/>
          <w:sz w:val="25"/>
          <w:szCs w:val="25"/>
        </w:rPr>
        <w:t>Vancomycin exposure: high-risk populations</w:t>
      </w:r>
    </w:p>
    <w:p w:rsidR="00AB7588" w:rsidRPr="00AB7588" w:rsidRDefault="00AB7588" w:rsidP="00AB7588">
      <w:pPr>
        <w:shd w:val="clear" w:color="auto" w:fill="FFFFFF"/>
        <w:spacing w:after="0" w:line="381" w:lineRule="atLeast"/>
        <w:outlineLvl w:val="3"/>
        <w:rPr>
          <w:rFonts w:ascii="Arial" w:eastAsia="Times New Roman" w:hAnsi="Arial" w:cs="Arial"/>
          <w:b/>
          <w:bCs/>
          <w:color w:val="59331F"/>
          <w:sz w:val="24"/>
          <w:szCs w:val="24"/>
        </w:rPr>
      </w:pPr>
      <w:r w:rsidRPr="00AB7588">
        <w:rPr>
          <w:rFonts w:ascii="Arial" w:eastAsia="Times New Roman" w:hAnsi="Arial" w:cs="Arial"/>
          <w:b/>
          <w:bCs/>
          <w:color w:val="59331F"/>
          <w:sz w:val="24"/>
          <w:szCs w:val="24"/>
        </w:rPr>
        <w:t>Nosocomial pneumonia</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Hospital-acquired pneumonia, particularly when due to MRSA, is frequently associated with critical illness. Optimal antibiotic exposure may be limited by the concurrent use of assisted ventilation. Therapeutic success is determined by antibiotic availability on the epithelial lining fluid of the alveolar compartments [</w:t>
      </w:r>
      <w:hyperlink r:id="rId68" w:anchor="bibr77-2042018816638223" w:history="1">
        <w:r w:rsidRPr="00AB7588">
          <w:rPr>
            <w:rFonts w:ascii="Times New Roman" w:eastAsia="Times New Roman" w:hAnsi="Times New Roman" w:cs="Times New Roman"/>
            <w:color w:val="2F4A8B"/>
            <w:sz w:val="25"/>
            <w:szCs w:val="25"/>
            <w:u w:val="single"/>
          </w:rPr>
          <w:t>Rodvold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 Due to its water solubility, penetration of vancomycin across the alveolar capillary membrane is low, estimated as 5–41% [</w:t>
      </w:r>
      <w:hyperlink r:id="rId69" w:anchor="bibr80-2042018816638223" w:history="1">
        <w:r w:rsidRPr="00AB7588">
          <w:rPr>
            <w:rFonts w:ascii="Times New Roman" w:eastAsia="Times New Roman" w:hAnsi="Times New Roman" w:cs="Times New Roman"/>
            <w:color w:val="2F4A8B"/>
            <w:sz w:val="25"/>
            <w:szCs w:val="25"/>
            <w:u w:val="single"/>
          </w:rPr>
          <w:t>Rybak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2009</w:t>
        </w:r>
      </w:hyperlink>
      <w:r w:rsidRPr="00AB7588">
        <w:rPr>
          <w:rFonts w:ascii="Times New Roman" w:eastAsia="Times New Roman" w:hAnsi="Times New Roman" w:cs="Times New Roman"/>
          <w:color w:val="000000"/>
          <w:sz w:val="25"/>
          <w:szCs w:val="25"/>
        </w:rPr>
        <w:t>]. To overcome the poor lung bioavailability, higher doses of vancomycin to achieve serum level with AUC greater than 345 may be warranted [</w:t>
      </w:r>
      <w:hyperlink r:id="rId70" w:anchor="bibr56-2042018816638223" w:history="1">
        <w:r w:rsidRPr="00AB7588">
          <w:rPr>
            <w:rFonts w:ascii="Times New Roman" w:eastAsia="Times New Roman" w:hAnsi="Times New Roman" w:cs="Times New Roman"/>
            <w:color w:val="2F4A8B"/>
            <w:sz w:val="25"/>
            <w:szCs w:val="25"/>
            <w:u w:val="single"/>
          </w:rPr>
          <w:t>Moise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2000</w:t>
        </w:r>
      </w:hyperlink>
      <w:r w:rsidRPr="00AB7588">
        <w:rPr>
          <w:rFonts w:ascii="Times New Roman" w:eastAsia="Times New Roman" w:hAnsi="Times New Roman" w:cs="Times New Roman"/>
          <w:color w:val="000000"/>
          <w:sz w:val="25"/>
          <w:szCs w:val="25"/>
        </w:rPr>
        <w:t>]. With plasma protein binding of 50–55% for vancomycin it may be extremely difficult to achieve adequate AUC/minimal inhibitory concentration (MIC) value for pathogen with MIC greater than 1 mg/; [</w:t>
      </w:r>
      <w:hyperlink r:id="rId71" w:anchor="bibr80-2042018816638223" w:history="1">
        <w:r w:rsidRPr="00AB7588">
          <w:rPr>
            <w:rFonts w:ascii="Times New Roman" w:eastAsia="Times New Roman" w:hAnsi="Times New Roman" w:cs="Times New Roman"/>
            <w:color w:val="2F4A8B"/>
            <w:sz w:val="25"/>
            <w:szCs w:val="25"/>
            <w:u w:val="single"/>
          </w:rPr>
          <w:t>Rybak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2009</w:t>
        </w:r>
      </w:hyperlink>
      <w:r w:rsidRPr="00AB7588">
        <w:rPr>
          <w:rFonts w:ascii="Times New Roman" w:eastAsia="Times New Roman" w:hAnsi="Times New Roman" w:cs="Times New Roman"/>
          <w:color w:val="000000"/>
          <w:sz w:val="25"/>
          <w:szCs w:val="25"/>
        </w:rPr>
        <w:t>; </w:t>
      </w:r>
      <w:hyperlink r:id="rId72" w:anchor="bibr36-2042018816638223" w:history="1">
        <w:r w:rsidRPr="00AB7588">
          <w:rPr>
            <w:rFonts w:ascii="Times New Roman" w:eastAsia="Times New Roman" w:hAnsi="Times New Roman" w:cs="Times New Roman"/>
            <w:color w:val="2F4A8B"/>
            <w:sz w:val="25"/>
            <w:szCs w:val="25"/>
            <w:u w:val="single"/>
          </w:rPr>
          <w:t>Harigaya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2009</w:t>
        </w:r>
      </w:hyperlink>
      <w:r w:rsidRPr="00AB7588">
        <w:rPr>
          <w:rFonts w:ascii="Times New Roman" w:eastAsia="Times New Roman" w:hAnsi="Times New Roman" w:cs="Times New Roman"/>
          <w:color w:val="000000"/>
          <w:sz w:val="25"/>
          <w:szCs w:val="25"/>
        </w:rPr>
        <w:t>]. Consequently there is a recommendation for aggressive dosing to attain a trough level of 15–20 mg/l. However, this has led to increasing reports of VIN [</w:t>
      </w:r>
      <w:hyperlink r:id="rId73" w:anchor="bibr36-2042018816638223" w:history="1">
        <w:r w:rsidRPr="00AB7588">
          <w:rPr>
            <w:rFonts w:ascii="Times New Roman" w:eastAsia="Times New Roman" w:hAnsi="Times New Roman" w:cs="Times New Roman"/>
            <w:color w:val="2F4A8B"/>
            <w:sz w:val="25"/>
            <w:szCs w:val="25"/>
            <w:u w:val="single"/>
          </w:rPr>
          <w:t>Harigaya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2009</w:t>
        </w:r>
      </w:hyperlink>
      <w:r w:rsidRPr="00AB7588">
        <w:rPr>
          <w:rFonts w:ascii="Times New Roman" w:eastAsia="Times New Roman" w:hAnsi="Times New Roman" w:cs="Times New Roman"/>
          <w:color w:val="000000"/>
          <w:sz w:val="25"/>
          <w:szCs w:val="25"/>
        </w:rPr>
        <w:t>]. Thus in a retrospective analysis of multi-institutional patients with critical health care associated pneumonia [Improving Medicine through Pathway Assessment of Critical Therapy of Hospital-Acquired Pneumonia (IMPACT-HAP) trial], nephrotoxicity occurred in 15.4% of 188 vancomycin-treated patients [</w:t>
      </w:r>
      <w:hyperlink r:id="rId74" w:anchor="bibr11-2042018816638223" w:history="1">
        <w:r w:rsidRPr="00AB7588">
          <w:rPr>
            <w:rFonts w:ascii="Times New Roman" w:eastAsia="Times New Roman" w:hAnsi="Times New Roman" w:cs="Times New Roman"/>
            <w:color w:val="2F4A8B"/>
            <w:sz w:val="25"/>
            <w:szCs w:val="25"/>
            <w:u w:val="single"/>
          </w:rPr>
          <w:t>Cano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2012</w:t>
        </w:r>
      </w:hyperlink>
      <w:r w:rsidRPr="00AB7588">
        <w:rPr>
          <w:rFonts w:ascii="Times New Roman" w:eastAsia="Times New Roman" w:hAnsi="Times New Roman" w:cs="Times New Roman"/>
          <w:color w:val="000000"/>
          <w:sz w:val="25"/>
          <w:szCs w:val="25"/>
        </w:rPr>
        <w:t>]. Similarly, aggressive treatment in 94 patients with pneumonia due to MRSA resulted in 42.6% of renal toxicity. Given the large doses required and to circumvent nephrotoxicity, alternative therapy (e.g. linezolid) is recommended if MIC is greater than 2 mg/l [</w:t>
      </w:r>
      <w:hyperlink r:id="rId75" w:anchor="bibr80-2042018816638223" w:history="1">
        <w:r w:rsidRPr="00AB7588">
          <w:rPr>
            <w:rFonts w:ascii="Times New Roman" w:eastAsia="Times New Roman" w:hAnsi="Times New Roman" w:cs="Times New Roman"/>
            <w:color w:val="2F4A8B"/>
            <w:sz w:val="25"/>
            <w:szCs w:val="25"/>
            <w:u w:val="single"/>
          </w:rPr>
          <w:t>Rybak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2009</w:t>
        </w:r>
      </w:hyperlink>
      <w:r w:rsidRPr="00AB7588">
        <w:rPr>
          <w:rFonts w:ascii="Times New Roman" w:eastAsia="Times New Roman" w:hAnsi="Times New Roman" w:cs="Times New Roman"/>
          <w:color w:val="000000"/>
          <w:sz w:val="25"/>
          <w:szCs w:val="25"/>
        </w:rPr>
        <w:t>; </w:t>
      </w:r>
      <w:hyperlink r:id="rId76" w:anchor="bibr15-2042018816638223" w:history="1">
        <w:r w:rsidRPr="00AB7588">
          <w:rPr>
            <w:rFonts w:ascii="Times New Roman" w:eastAsia="Times New Roman" w:hAnsi="Times New Roman" w:cs="Times New Roman"/>
            <w:color w:val="2F4A8B"/>
            <w:sz w:val="25"/>
            <w:szCs w:val="25"/>
            <w:u w:val="single"/>
          </w:rPr>
          <w:t>Chastre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2014</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after="0" w:line="381" w:lineRule="atLeast"/>
        <w:outlineLvl w:val="3"/>
        <w:rPr>
          <w:rFonts w:ascii="Arial" w:eastAsia="Times New Roman" w:hAnsi="Arial" w:cs="Arial"/>
          <w:b/>
          <w:bCs/>
          <w:color w:val="59331F"/>
          <w:sz w:val="24"/>
          <w:szCs w:val="24"/>
        </w:rPr>
      </w:pPr>
      <w:r w:rsidRPr="00AB7588">
        <w:rPr>
          <w:rFonts w:ascii="Arial" w:eastAsia="Times New Roman" w:hAnsi="Arial" w:cs="Arial"/>
          <w:b/>
          <w:bCs/>
          <w:color w:val="59331F"/>
          <w:sz w:val="24"/>
          <w:szCs w:val="24"/>
        </w:rPr>
        <w:t>Intensive care unit</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Larger doses of vancomycin are often required in patients in intensive care unit because the offending pathogens are less susceptible to the antibiotic. There is multiplefold greater MIC compared with the noncritically ill controls [</w:t>
      </w:r>
      <w:hyperlink r:id="rId77" w:anchor="bibr75-2042018816638223" w:history="1">
        <w:r w:rsidRPr="00AB7588">
          <w:rPr>
            <w:rFonts w:ascii="Times New Roman" w:eastAsia="Times New Roman" w:hAnsi="Times New Roman" w:cs="Times New Roman"/>
            <w:color w:val="2F4A8B"/>
            <w:sz w:val="25"/>
            <w:szCs w:val="25"/>
            <w:u w:val="single"/>
          </w:rPr>
          <w:t>Roberts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2014</w:t>
        </w:r>
      </w:hyperlink>
      <w:r w:rsidRPr="00AB7588">
        <w:rPr>
          <w:rFonts w:ascii="Times New Roman" w:eastAsia="Times New Roman" w:hAnsi="Times New Roman" w:cs="Times New Roman"/>
          <w:color w:val="000000"/>
          <w:sz w:val="25"/>
          <w:szCs w:val="25"/>
        </w:rPr>
        <w:t>]. In addition, apart from renal hypoperfusion in these patients, altered volume of distribution of vancomycin, a hydrophilic compound, aggravates susceptibility to renal injury [</w:t>
      </w:r>
      <w:hyperlink r:id="rId78" w:anchor="bibr75-2042018816638223" w:history="1">
        <w:r w:rsidRPr="00AB7588">
          <w:rPr>
            <w:rFonts w:ascii="Times New Roman" w:eastAsia="Times New Roman" w:hAnsi="Times New Roman" w:cs="Times New Roman"/>
            <w:color w:val="2F4A8B"/>
            <w:sz w:val="25"/>
            <w:szCs w:val="25"/>
            <w:u w:val="single"/>
          </w:rPr>
          <w:t>Roberts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2014</w:t>
        </w:r>
      </w:hyperlink>
      <w:r w:rsidRPr="00AB7588">
        <w:rPr>
          <w:rFonts w:ascii="Times New Roman" w:eastAsia="Times New Roman" w:hAnsi="Times New Roman" w:cs="Times New Roman"/>
          <w:color w:val="000000"/>
          <w:sz w:val="25"/>
          <w:szCs w:val="25"/>
        </w:rPr>
        <w:t>; </w:t>
      </w:r>
      <w:hyperlink r:id="rId79" w:anchor="bibr3-2042018816638223" w:history="1">
        <w:r w:rsidRPr="00AB7588">
          <w:rPr>
            <w:rFonts w:ascii="Times New Roman" w:eastAsia="Times New Roman" w:hAnsi="Times New Roman" w:cs="Times New Roman"/>
            <w:color w:val="2F4A8B"/>
            <w:sz w:val="25"/>
            <w:szCs w:val="25"/>
            <w:u w:val="single"/>
          </w:rPr>
          <w:t>Bagshaw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2008</w:t>
        </w:r>
      </w:hyperlink>
      <w:r w:rsidRPr="00AB7588">
        <w:rPr>
          <w:rFonts w:ascii="Times New Roman" w:eastAsia="Times New Roman" w:hAnsi="Times New Roman" w:cs="Times New Roman"/>
          <w:color w:val="000000"/>
          <w:sz w:val="25"/>
          <w:szCs w:val="25"/>
        </w:rPr>
        <w:t>]. In severe sepsis, increase in the volume of distribution ultimately results from widespread endothelial injury and excess administration of resuscitative fluids. Furthermore, as evident in animal experiments, endotoxemia </w:t>
      </w:r>
      <w:r w:rsidRPr="00AB7588">
        <w:rPr>
          <w:rFonts w:ascii="Times New Roman" w:eastAsia="Times New Roman" w:hAnsi="Times New Roman" w:cs="Times New Roman"/>
          <w:i/>
          <w:iCs/>
          <w:color w:val="000000"/>
          <w:sz w:val="25"/>
          <w:szCs w:val="25"/>
        </w:rPr>
        <w:t>per se</w:t>
      </w:r>
      <w:r w:rsidRPr="00AB7588">
        <w:rPr>
          <w:rFonts w:ascii="Times New Roman" w:eastAsia="Times New Roman" w:hAnsi="Times New Roman" w:cs="Times New Roman"/>
          <w:color w:val="000000"/>
          <w:sz w:val="25"/>
          <w:szCs w:val="25"/>
        </w:rPr>
        <w:t> increases the intrarenal distribution of vancomycin while there is a reduction in its elimination kinetics [</w:t>
      </w:r>
      <w:hyperlink r:id="rId80" w:anchor="bibr60-2042018816638223" w:history="1">
        <w:r w:rsidRPr="00AB7588">
          <w:rPr>
            <w:rFonts w:ascii="Times New Roman" w:eastAsia="Times New Roman" w:hAnsi="Times New Roman" w:cs="Times New Roman"/>
            <w:color w:val="2F4A8B"/>
            <w:sz w:val="25"/>
            <w:szCs w:val="25"/>
            <w:u w:val="single"/>
          </w:rPr>
          <w:t>Ngeleka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1989</w:t>
        </w:r>
      </w:hyperlink>
      <w:r w:rsidRPr="00AB7588">
        <w:rPr>
          <w:rFonts w:ascii="Times New Roman" w:eastAsia="Times New Roman" w:hAnsi="Times New Roman" w:cs="Times New Roman"/>
          <w:color w:val="000000"/>
          <w:sz w:val="25"/>
          <w:szCs w:val="25"/>
        </w:rPr>
        <w:t>]. Finally, due to the variability of pharmacokinetic parameters and the greater susceptibility to renal injury, therapeutic drug monitoring has been recommended in critically ill patients [</w:t>
      </w:r>
      <w:hyperlink r:id="rId81" w:anchor="bibr76-2042018816638223" w:history="1">
        <w:r w:rsidRPr="00AB7588">
          <w:rPr>
            <w:rFonts w:ascii="Times New Roman" w:eastAsia="Times New Roman" w:hAnsi="Times New Roman" w:cs="Times New Roman"/>
            <w:color w:val="2F4A8B"/>
            <w:sz w:val="25"/>
            <w:szCs w:val="25"/>
            <w:u w:val="single"/>
          </w:rPr>
          <w:t>Roberts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308" w:after="154" w:line="300" w:lineRule="atLeast"/>
        <w:outlineLvl w:val="2"/>
        <w:rPr>
          <w:rFonts w:ascii="Arial" w:eastAsia="Times New Roman" w:hAnsi="Arial" w:cs="Arial"/>
          <w:b/>
          <w:bCs/>
          <w:color w:val="724128"/>
          <w:sz w:val="25"/>
          <w:szCs w:val="25"/>
        </w:rPr>
      </w:pPr>
      <w:r w:rsidRPr="00AB7588">
        <w:rPr>
          <w:rFonts w:ascii="Arial" w:eastAsia="Times New Roman" w:hAnsi="Arial" w:cs="Arial"/>
          <w:b/>
          <w:bCs/>
          <w:color w:val="724128"/>
          <w:sz w:val="25"/>
          <w:szCs w:val="25"/>
        </w:rPr>
        <w:t>Vancomycin exposure: obesity</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Due to increases in both adipose tissue and skeletal muscle mass, there is a greater volume of distribution of vancomycin in patients with obesity compared with the healthy controls [</w:t>
      </w:r>
      <w:hyperlink r:id="rId82" w:anchor="bibr33-2042018816638223" w:history="1">
        <w:r w:rsidRPr="00AB7588">
          <w:rPr>
            <w:rFonts w:ascii="Times New Roman" w:eastAsia="Times New Roman" w:hAnsi="Times New Roman" w:cs="Times New Roman"/>
            <w:color w:val="2F4A8B"/>
            <w:sz w:val="25"/>
            <w:szCs w:val="25"/>
            <w:u w:val="single"/>
          </w:rPr>
          <w:t>Grace, 2012</w:t>
        </w:r>
      </w:hyperlink>
      <w:r w:rsidRPr="00AB7588">
        <w:rPr>
          <w:rFonts w:ascii="Times New Roman" w:eastAsia="Times New Roman" w:hAnsi="Times New Roman" w:cs="Times New Roman"/>
          <w:color w:val="000000"/>
          <w:sz w:val="25"/>
          <w:szCs w:val="25"/>
        </w:rPr>
        <w:t>]. In addition, the increase in blood volume and cardiac output results in augmented renal delivery. Studies have examined the impact of greater drug exposure imposed by the use of unadjusted body weight to calculate the dose of vancomycin in patients with obesity [</w:t>
      </w:r>
      <w:hyperlink r:id="rId83" w:anchor="bibr22-2042018816638223" w:history="1">
        <w:r w:rsidRPr="00AB7588">
          <w:rPr>
            <w:rFonts w:ascii="Times New Roman" w:eastAsia="Times New Roman" w:hAnsi="Times New Roman" w:cs="Times New Roman"/>
            <w:color w:val="2F4A8B"/>
            <w:sz w:val="25"/>
            <w:szCs w:val="25"/>
            <w:u w:val="single"/>
          </w:rPr>
          <w:t>Davies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84" w:anchor="bibr53-2042018816638223" w:history="1">
        <w:r w:rsidRPr="00AB7588">
          <w:rPr>
            <w:rFonts w:ascii="Times New Roman" w:eastAsia="Times New Roman" w:hAnsi="Times New Roman" w:cs="Times New Roman"/>
            <w:color w:val="2F4A8B"/>
            <w:sz w:val="25"/>
            <w:szCs w:val="25"/>
            <w:u w:val="single"/>
          </w:rPr>
          <w:t>Matson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Apparently influenced by the retrospective design, the results of such studies are inconsistent. Few studies showed higher vancomycin trough concentration in the absence of weight adjustment but most data found no difference in comparison with the controls [</w:t>
      </w:r>
      <w:hyperlink r:id="rId85" w:anchor="bibr37-2042018816638223" w:history="1">
        <w:r w:rsidRPr="00AB7588">
          <w:rPr>
            <w:rFonts w:ascii="Times New Roman" w:eastAsia="Times New Roman" w:hAnsi="Times New Roman" w:cs="Times New Roman"/>
            <w:color w:val="2F4A8B"/>
            <w:sz w:val="25"/>
            <w:szCs w:val="25"/>
            <w:u w:val="single"/>
          </w:rPr>
          <w:t>Heble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2013</w:t>
        </w:r>
      </w:hyperlink>
      <w:r w:rsidRPr="00AB7588">
        <w:rPr>
          <w:rFonts w:ascii="Times New Roman" w:eastAsia="Times New Roman" w:hAnsi="Times New Roman" w:cs="Times New Roman"/>
          <w:color w:val="000000"/>
          <w:sz w:val="25"/>
          <w:szCs w:val="25"/>
        </w:rPr>
        <w:t>; </w:t>
      </w:r>
      <w:hyperlink r:id="rId86" w:anchor="bibr50-2042018816638223" w:history="1">
        <w:r w:rsidRPr="00AB7588">
          <w:rPr>
            <w:rFonts w:ascii="Times New Roman" w:eastAsia="Times New Roman" w:hAnsi="Times New Roman" w:cs="Times New Roman"/>
            <w:color w:val="2F4A8B"/>
            <w:sz w:val="25"/>
            <w:szCs w:val="25"/>
            <w:u w:val="single"/>
          </w:rPr>
          <w:t>Le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87" w:anchor="bibr27-2042018816638223" w:history="1">
        <w:r w:rsidRPr="00AB7588">
          <w:rPr>
            <w:rFonts w:ascii="Times New Roman" w:eastAsia="Times New Roman" w:hAnsi="Times New Roman" w:cs="Times New Roman"/>
            <w:color w:val="2F4A8B"/>
            <w:sz w:val="25"/>
            <w:szCs w:val="25"/>
            <w:u w:val="single"/>
          </w:rPr>
          <w:t>Eiland and Sonawane, 2014</w:t>
        </w:r>
      </w:hyperlink>
      <w:r w:rsidRPr="00AB7588">
        <w:rPr>
          <w:rFonts w:ascii="Times New Roman" w:eastAsia="Times New Roman" w:hAnsi="Times New Roman" w:cs="Times New Roman"/>
          <w:color w:val="000000"/>
          <w:sz w:val="25"/>
          <w:szCs w:val="25"/>
        </w:rPr>
        <w:t>]. Because sample sizes of the studies are often small, there may be a lack of adequate power to detect a significant difference. In addition, study outcome may reflect the imperfection of body mass index (deduced from height and weight) in the determination of adiposity. In a retrospective study of 530 patients stratified by body mass index (&gt;30 kg/m</w:t>
      </w:r>
      <w:r w:rsidRPr="00AB7588">
        <w:rPr>
          <w:rFonts w:ascii="Times New Roman" w:eastAsia="Times New Roman" w:hAnsi="Times New Roman" w:cs="Times New Roman"/>
          <w:color w:val="000000"/>
          <w:sz w:val="21"/>
          <w:szCs w:val="21"/>
          <w:vertAlign w:val="superscript"/>
        </w:rPr>
        <w:t>2</w:t>
      </w:r>
      <w:r w:rsidRPr="00AB7588">
        <w:rPr>
          <w:rFonts w:ascii="Times New Roman" w:eastAsia="Times New Roman" w:hAnsi="Times New Roman" w:cs="Times New Roman"/>
          <w:color w:val="000000"/>
          <w:sz w:val="25"/>
          <w:szCs w:val="25"/>
        </w:rPr>
        <w:t>), APACHE II score greater than 21 was the only variable associated with nephrotoxicity in a regression analysis [</w:t>
      </w:r>
      <w:hyperlink r:id="rId88" w:anchor="bibr22-2042018816638223" w:history="1">
        <w:r w:rsidRPr="00AB7588">
          <w:rPr>
            <w:rFonts w:ascii="Times New Roman" w:eastAsia="Times New Roman" w:hAnsi="Times New Roman" w:cs="Times New Roman"/>
            <w:color w:val="2F4A8B"/>
            <w:sz w:val="25"/>
            <w:szCs w:val="25"/>
            <w:u w:val="single"/>
          </w:rPr>
          <w:t>Davies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There was no significant relationship between obesity and a higher risk of nephrotoxicity [</w:t>
      </w:r>
      <w:hyperlink r:id="rId89" w:anchor="bibr22-2042018816638223" w:history="1">
        <w:r w:rsidRPr="00AB7588">
          <w:rPr>
            <w:rFonts w:ascii="Times New Roman" w:eastAsia="Times New Roman" w:hAnsi="Times New Roman" w:cs="Times New Roman"/>
            <w:color w:val="2F4A8B"/>
            <w:sz w:val="25"/>
            <w:szCs w:val="25"/>
            <w:u w:val="single"/>
          </w:rPr>
          <w:t>Davies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90" w:anchor="bibr53-2042018816638223" w:history="1">
        <w:r w:rsidRPr="00AB7588">
          <w:rPr>
            <w:rFonts w:ascii="Times New Roman" w:eastAsia="Times New Roman" w:hAnsi="Times New Roman" w:cs="Times New Roman"/>
            <w:color w:val="2F4A8B"/>
            <w:sz w:val="25"/>
            <w:szCs w:val="25"/>
            <w:u w:val="single"/>
          </w:rPr>
          <w:t>Matson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xml:space="preserve">]. However, a different outcome was obtained in another study: there was </w:t>
      </w:r>
      <w:proofErr w:type="gramStart"/>
      <w:r w:rsidRPr="00AB7588">
        <w:rPr>
          <w:rFonts w:ascii="Times New Roman" w:eastAsia="Times New Roman" w:hAnsi="Times New Roman" w:cs="Times New Roman"/>
          <w:color w:val="000000"/>
          <w:sz w:val="25"/>
          <w:szCs w:val="25"/>
        </w:rPr>
        <w:t>fivefold greater likelihood</w:t>
      </w:r>
      <w:proofErr w:type="gramEnd"/>
      <w:r w:rsidRPr="00AB7588">
        <w:rPr>
          <w:rFonts w:ascii="Times New Roman" w:eastAsia="Times New Roman" w:hAnsi="Times New Roman" w:cs="Times New Roman"/>
          <w:color w:val="000000"/>
          <w:sz w:val="25"/>
          <w:szCs w:val="25"/>
        </w:rPr>
        <w:t xml:space="preserve"> of attaining a serum vancomycin greater than 20 mg/l in patients with exogenous obesity [</w:t>
      </w:r>
      <w:hyperlink r:id="rId91" w:anchor="bibr74-2042018816638223" w:history="1">
        <w:r w:rsidRPr="00AB7588">
          <w:rPr>
            <w:rFonts w:ascii="Times New Roman" w:eastAsia="Times New Roman" w:hAnsi="Times New Roman" w:cs="Times New Roman"/>
            <w:color w:val="2F4A8B"/>
            <w:sz w:val="25"/>
            <w:szCs w:val="25"/>
            <w:u w:val="single"/>
          </w:rPr>
          <w:t>Richardson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Another factor that influences the outcome of these studies may be the threshold of the dose required for renal effect of vancomycin. This is best illustrated in a study with an adequate proportion of patients who have morbid obesity (weight &gt; 100 kg) [</w:t>
      </w:r>
      <w:hyperlink r:id="rId92" w:anchor="bibr51-2042018816638223" w:history="1">
        <w:r w:rsidRPr="00AB7588">
          <w:rPr>
            <w:rFonts w:ascii="Times New Roman" w:eastAsia="Times New Roman" w:hAnsi="Times New Roman" w:cs="Times New Roman"/>
            <w:color w:val="2F4A8B"/>
            <w:sz w:val="25"/>
            <w:szCs w:val="25"/>
            <w:u w:val="single"/>
          </w:rPr>
          <w:t>Lodise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2008</w:t>
        </w:r>
      </w:hyperlink>
      <w:r w:rsidRPr="00AB7588">
        <w:rPr>
          <w:rFonts w:ascii="Times New Roman" w:eastAsia="Times New Roman" w:hAnsi="Times New Roman" w:cs="Times New Roman"/>
          <w:color w:val="000000"/>
          <w:sz w:val="25"/>
          <w:szCs w:val="25"/>
        </w:rPr>
        <w:t>]. The requirement of disproportionately larger doses of vancomycin (calculated by actual body weight) led to a significant association with a greater number of events of VIN. Finally, given the predisposition of critically ill patients with obesity to succumb to AKI, more comprehensive studies on the renal impact and dosing strategy of vancomycin are needed in this population [</w:t>
      </w:r>
      <w:hyperlink r:id="rId93" w:anchor="bibr20-2042018816638223" w:history="1">
        <w:r w:rsidRPr="00AB7588">
          <w:rPr>
            <w:rFonts w:ascii="Times New Roman" w:eastAsia="Times New Roman" w:hAnsi="Times New Roman" w:cs="Times New Roman"/>
            <w:color w:val="2F4A8B"/>
            <w:sz w:val="25"/>
            <w:szCs w:val="25"/>
            <w:u w:val="single"/>
          </w:rPr>
          <w:t>Danziger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2016</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308" w:after="154" w:line="300" w:lineRule="atLeast"/>
        <w:outlineLvl w:val="2"/>
        <w:rPr>
          <w:rFonts w:ascii="Arial" w:eastAsia="Times New Roman" w:hAnsi="Arial" w:cs="Arial"/>
          <w:b/>
          <w:bCs/>
          <w:color w:val="724128"/>
          <w:sz w:val="25"/>
          <w:szCs w:val="25"/>
        </w:rPr>
      </w:pPr>
      <w:r w:rsidRPr="00AB7588">
        <w:rPr>
          <w:rFonts w:ascii="Arial" w:eastAsia="Times New Roman" w:hAnsi="Arial" w:cs="Arial"/>
          <w:b/>
          <w:bCs/>
          <w:color w:val="724128"/>
          <w:sz w:val="25"/>
          <w:szCs w:val="25"/>
        </w:rPr>
        <w:t>Vancomycin toxicity in chronic kidney disease</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The renal consequence of aggressive dosing of vancomycin is of particular significance in patients with chronic kidney disease (CKD) [</w:t>
      </w:r>
      <w:hyperlink r:id="rId94" w:anchor="bibr82-2042018816638223" w:history="1">
        <w:r w:rsidRPr="00AB7588">
          <w:rPr>
            <w:rFonts w:ascii="Times New Roman" w:eastAsia="Times New Roman" w:hAnsi="Times New Roman" w:cs="Times New Roman"/>
            <w:color w:val="2F4A8B"/>
            <w:sz w:val="25"/>
            <w:szCs w:val="25"/>
            <w:u w:val="single"/>
          </w:rPr>
          <w:t>Spadaro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This is because approximately one third of the patients admitted into the intensive care unit had a pre-existing CKD [</w:t>
      </w:r>
      <w:hyperlink r:id="rId95" w:anchor="bibr85-2042018816638223" w:history="1">
        <w:r w:rsidRPr="00AB7588">
          <w:rPr>
            <w:rFonts w:ascii="Times New Roman" w:eastAsia="Times New Roman" w:hAnsi="Times New Roman" w:cs="Times New Roman"/>
            <w:color w:val="2F4A8B"/>
            <w:sz w:val="25"/>
            <w:szCs w:val="25"/>
            <w:u w:val="single"/>
          </w:rPr>
          <w:t>Uchino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2005</w:t>
        </w:r>
      </w:hyperlink>
      <w:r w:rsidRPr="00AB7588">
        <w:rPr>
          <w:rFonts w:ascii="Times New Roman" w:eastAsia="Times New Roman" w:hAnsi="Times New Roman" w:cs="Times New Roman"/>
          <w:color w:val="000000"/>
          <w:sz w:val="25"/>
          <w:szCs w:val="25"/>
        </w:rPr>
        <w:t>]. Due to impaired renal autoregulation, critically ill patients with CKD are more likely to sustain AKI than those with normal renal function [</w:t>
      </w:r>
      <w:hyperlink r:id="rId96" w:anchor="bibr42-2042018816638223" w:history="1">
        <w:r w:rsidRPr="00AB7588">
          <w:rPr>
            <w:rFonts w:ascii="Times New Roman" w:eastAsia="Times New Roman" w:hAnsi="Times New Roman" w:cs="Times New Roman"/>
            <w:color w:val="2F4A8B"/>
            <w:sz w:val="25"/>
            <w:szCs w:val="25"/>
            <w:u w:val="single"/>
          </w:rPr>
          <w:t>Hoste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2003</w:t>
        </w:r>
      </w:hyperlink>
      <w:r w:rsidRPr="00AB7588">
        <w:rPr>
          <w:rFonts w:ascii="Times New Roman" w:eastAsia="Times New Roman" w:hAnsi="Times New Roman" w:cs="Times New Roman"/>
          <w:color w:val="000000"/>
          <w:sz w:val="25"/>
          <w:szCs w:val="25"/>
        </w:rPr>
        <w:t>]. Coadministration of vancomycin with other nephrotoxic agents (as in aminoglycosides) has been associated with greater severity of AKI and a lower probability of renal recovery [</w:t>
      </w:r>
      <w:hyperlink r:id="rId97" w:anchor="bibr67-2042018816638223" w:history="1">
        <w:r w:rsidRPr="00AB7588">
          <w:rPr>
            <w:rFonts w:ascii="Times New Roman" w:eastAsia="Times New Roman" w:hAnsi="Times New Roman" w:cs="Times New Roman"/>
            <w:color w:val="2F4A8B"/>
            <w:sz w:val="25"/>
            <w:szCs w:val="25"/>
            <w:u w:val="single"/>
          </w:rPr>
          <w:t>Paquette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Incomplete renal recovery accelerates the progression of CKD, and may result in higher rates of cardiovascular morbidity and fatality [</w:t>
      </w:r>
      <w:hyperlink r:id="rId98" w:anchor="bibr25-2042018816638223" w:history="1">
        <w:r w:rsidRPr="00AB7588">
          <w:rPr>
            <w:rFonts w:ascii="Times New Roman" w:eastAsia="Times New Roman" w:hAnsi="Times New Roman" w:cs="Times New Roman"/>
            <w:color w:val="2F4A8B"/>
            <w:sz w:val="25"/>
            <w:szCs w:val="25"/>
            <w:u w:val="single"/>
          </w:rPr>
          <w:t>D’Hoore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99" w:anchor="bibr66-2042018816638223" w:history="1">
        <w:r w:rsidRPr="00AB7588">
          <w:rPr>
            <w:rFonts w:ascii="Times New Roman" w:eastAsia="Times New Roman" w:hAnsi="Times New Roman" w:cs="Times New Roman"/>
            <w:color w:val="2F4A8B"/>
            <w:sz w:val="25"/>
            <w:szCs w:val="25"/>
            <w:u w:val="single"/>
          </w:rPr>
          <w:t>Panwar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2013</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The clinical issue encountered in patients with end-stage kidney disease (ESKD) is different. It is principally driven by the common use of a central line for vascular access. Seventy-seven percent of these patients had sepsis compared with 23% recorded for those dialyzed with either arteriovenous fistulas or grafts [</w:t>
      </w:r>
      <w:hyperlink r:id="rId100" w:anchor="bibr24-2042018816638223" w:history="1">
        <w:r w:rsidRPr="00AB7588">
          <w:rPr>
            <w:rFonts w:ascii="Times New Roman" w:eastAsia="Times New Roman" w:hAnsi="Times New Roman" w:cs="Times New Roman"/>
            <w:color w:val="2F4A8B"/>
            <w:sz w:val="25"/>
            <w:szCs w:val="25"/>
            <w:u w:val="single"/>
          </w:rPr>
          <w:t>Decker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2010</w:t>
        </w:r>
      </w:hyperlink>
      <w:r w:rsidRPr="00AB7588">
        <w:rPr>
          <w:rFonts w:ascii="Times New Roman" w:eastAsia="Times New Roman" w:hAnsi="Times New Roman" w:cs="Times New Roman"/>
          <w:color w:val="000000"/>
          <w:sz w:val="25"/>
          <w:szCs w:val="25"/>
        </w:rPr>
        <w:t>]. Case fatality rate from septicemia is quite high, about 20%. This is partly because MRSA accounts for more than 40% of the bacterial infection in this population [</w:t>
      </w:r>
      <w:hyperlink r:id="rId101" w:anchor="bibr47-2042018816638223" w:history="1">
        <w:r w:rsidRPr="00AB7588">
          <w:rPr>
            <w:rFonts w:ascii="Times New Roman" w:eastAsia="Times New Roman" w:hAnsi="Times New Roman" w:cs="Times New Roman"/>
            <w:color w:val="2F4A8B"/>
            <w:sz w:val="25"/>
            <w:szCs w:val="25"/>
            <w:u w:val="single"/>
          </w:rPr>
          <w:t>Klevens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2008</w:t>
        </w:r>
      </w:hyperlink>
      <w:r w:rsidRPr="00AB7588">
        <w:rPr>
          <w:rFonts w:ascii="Times New Roman" w:eastAsia="Times New Roman" w:hAnsi="Times New Roman" w:cs="Times New Roman"/>
          <w:color w:val="000000"/>
          <w:sz w:val="25"/>
          <w:szCs w:val="25"/>
        </w:rPr>
        <w:t>]. Given its common use as empirical treatment, there are reports of resistant pathogens: Vancomycin resistant enterococcus (VRE), Vancomycin intermediate staphylococcus aureus (VISA) and Vancomycin resistant staphylococcus aureus (VRSA) in the dialysis population [</w:t>
      </w:r>
      <w:hyperlink r:id="rId102" w:anchor="bibr65-2042018816638223" w:history="1">
        <w:r w:rsidRPr="00AB7588">
          <w:rPr>
            <w:rFonts w:ascii="Times New Roman" w:eastAsia="Times New Roman" w:hAnsi="Times New Roman" w:cs="Times New Roman"/>
            <w:color w:val="2F4A8B"/>
            <w:sz w:val="25"/>
            <w:szCs w:val="25"/>
            <w:u w:val="single"/>
          </w:rPr>
          <w:t>Pai and Pai, 2006</w:t>
        </w:r>
      </w:hyperlink>
      <w:r w:rsidRPr="00AB7588">
        <w:rPr>
          <w:rFonts w:ascii="Times New Roman" w:eastAsia="Times New Roman" w:hAnsi="Times New Roman" w:cs="Times New Roman"/>
          <w:color w:val="000000"/>
          <w:sz w:val="25"/>
          <w:szCs w:val="25"/>
        </w:rPr>
        <w:t>; </w:t>
      </w:r>
      <w:hyperlink r:id="rId103" w:anchor="bibr30-2042018816638223" w:history="1">
        <w:r w:rsidRPr="00AB7588">
          <w:rPr>
            <w:rFonts w:ascii="Times New Roman" w:eastAsia="Times New Roman" w:hAnsi="Times New Roman" w:cs="Times New Roman"/>
            <w:color w:val="2F4A8B"/>
            <w:sz w:val="25"/>
            <w:szCs w:val="25"/>
            <w:u w:val="single"/>
          </w:rPr>
          <w:t>Fridkin, 2001</w:t>
        </w:r>
      </w:hyperlink>
      <w:r w:rsidRPr="00AB7588">
        <w:rPr>
          <w:rFonts w:ascii="Times New Roman" w:eastAsia="Times New Roman" w:hAnsi="Times New Roman" w:cs="Times New Roman"/>
          <w:color w:val="000000"/>
          <w:sz w:val="25"/>
          <w:szCs w:val="25"/>
        </w:rPr>
        <w:t>; </w:t>
      </w:r>
      <w:hyperlink r:id="rId104" w:anchor="bibr13-2042018816638223" w:history="1">
        <w:r w:rsidRPr="00AB7588">
          <w:rPr>
            <w:rFonts w:ascii="Times New Roman" w:eastAsia="Times New Roman" w:hAnsi="Times New Roman" w:cs="Times New Roman"/>
            <w:color w:val="2F4A8B"/>
            <w:sz w:val="25"/>
            <w:szCs w:val="25"/>
            <w:u w:val="single"/>
          </w:rPr>
          <w:t>Centers for Disease Control and Prevention, 2002</w:t>
        </w:r>
      </w:hyperlink>
      <w:r w:rsidRPr="00AB7588">
        <w:rPr>
          <w:rFonts w:ascii="Times New Roman" w:eastAsia="Times New Roman" w:hAnsi="Times New Roman" w:cs="Times New Roman"/>
          <w:color w:val="000000"/>
          <w:sz w:val="25"/>
          <w:szCs w:val="25"/>
        </w:rPr>
        <w:t>]. Hence a diligent dosing regimen of vancomycin is important to avoid compromise of the residual renal function. A fixed loading dose (1 g of intravenous vancomycin) given at the end of initial HD, and 0.5–1 g maintenance dose after subsequent dialysis provides adequate pre-HD drug level in 96% of patients (5–20 ug/ml) [</w:t>
      </w:r>
      <w:hyperlink r:id="rId105" w:anchor="bibr24-2042018816638223" w:history="1">
        <w:r w:rsidRPr="00AB7588">
          <w:rPr>
            <w:rFonts w:ascii="Times New Roman" w:eastAsia="Times New Roman" w:hAnsi="Times New Roman" w:cs="Times New Roman"/>
            <w:color w:val="2F4A8B"/>
            <w:sz w:val="25"/>
            <w:szCs w:val="25"/>
            <w:u w:val="single"/>
          </w:rPr>
          <w:t>Decker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2010</w:t>
        </w:r>
      </w:hyperlink>
      <w:r w:rsidRPr="00AB7588">
        <w:rPr>
          <w:rFonts w:ascii="Times New Roman" w:eastAsia="Times New Roman" w:hAnsi="Times New Roman" w:cs="Times New Roman"/>
          <w:color w:val="000000"/>
          <w:sz w:val="25"/>
          <w:szCs w:val="25"/>
        </w:rPr>
        <w:t>]. Other studies have found a relative advantage with a weight-based calculation of the loading doses [</w:t>
      </w:r>
      <w:hyperlink r:id="rId106" w:anchor="bibr7-2042018816638223" w:history="1">
        <w:r w:rsidRPr="00AB7588">
          <w:rPr>
            <w:rFonts w:ascii="Times New Roman" w:eastAsia="Times New Roman" w:hAnsi="Times New Roman" w:cs="Times New Roman"/>
            <w:color w:val="2F4A8B"/>
            <w:sz w:val="25"/>
            <w:szCs w:val="25"/>
            <w:u w:val="single"/>
          </w:rPr>
          <w:t>Brown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 This may be facilitated by the use of a preprogramed dose calculator [</w:t>
      </w:r>
      <w:hyperlink r:id="rId107" w:anchor="bibr86-2042018816638223" w:history="1">
        <w:r w:rsidRPr="00AB7588">
          <w:rPr>
            <w:rFonts w:ascii="Times New Roman" w:eastAsia="Times New Roman" w:hAnsi="Times New Roman" w:cs="Times New Roman"/>
            <w:color w:val="2F4A8B"/>
            <w:sz w:val="25"/>
            <w:szCs w:val="25"/>
            <w:u w:val="single"/>
          </w:rPr>
          <w:t>Vandecasteele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after="0" w:line="240" w:lineRule="auto"/>
        <w:jc w:val="right"/>
        <w:rPr>
          <w:rFonts w:ascii="Arial" w:eastAsia="Times New Roman" w:hAnsi="Arial" w:cs="Arial"/>
          <w:color w:val="000000"/>
          <w:sz w:val="25"/>
          <w:szCs w:val="25"/>
        </w:rPr>
      </w:pPr>
      <w:hyperlink r:id="rId108" w:tooltip="Go to other sections in this page" w:history="1">
        <w:r w:rsidRPr="00AB7588">
          <w:rPr>
            <w:rFonts w:ascii="Arial" w:eastAsia="Times New Roman" w:hAnsi="Arial" w:cs="Arial"/>
            <w:color w:val="2F4A8B"/>
            <w:sz w:val="25"/>
            <w:szCs w:val="25"/>
            <w:u w:val="single"/>
          </w:rPr>
          <w:t>Go to:</w:t>
        </w:r>
      </w:hyperlink>
    </w:p>
    <w:p w:rsidR="00AB7588" w:rsidRPr="00AB7588" w:rsidRDefault="00AB7588" w:rsidP="00AB7588">
      <w:pPr>
        <w:pBdr>
          <w:bottom w:val="single" w:sz="6" w:space="0" w:color="97B0C8"/>
        </w:pBdr>
        <w:shd w:val="clear" w:color="auto" w:fill="FFFFFF"/>
        <w:spacing w:before="270" w:after="0" w:line="267" w:lineRule="atLeast"/>
        <w:outlineLvl w:val="1"/>
        <w:rPr>
          <w:rFonts w:ascii="Arial" w:eastAsia="Times New Roman" w:hAnsi="Arial" w:cs="Arial"/>
          <w:b/>
          <w:bCs/>
          <w:color w:val="985735"/>
          <w:sz w:val="28"/>
          <w:szCs w:val="28"/>
        </w:rPr>
      </w:pPr>
      <w:r w:rsidRPr="00AB7588">
        <w:rPr>
          <w:rFonts w:ascii="Arial" w:eastAsia="Times New Roman" w:hAnsi="Arial" w:cs="Arial"/>
          <w:b/>
          <w:bCs/>
          <w:color w:val="985735"/>
          <w:sz w:val="28"/>
          <w:szCs w:val="28"/>
        </w:rPr>
        <w:t>Vancomycin-induced nephrotoxicity: pediatric studies</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Studies on vancomycin-induced renal toxicity have been performed mostly in the adult population. There are few pediatric clinical trials and where available they are mostly of retrospective design [</w:t>
      </w:r>
      <w:hyperlink r:id="rId109" w:anchor="bibr32-2042018816638223" w:history="1">
        <w:r w:rsidRPr="00AB7588">
          <w:rPr>
            <w:rFonts w:ascii="Times New Roman" w:eastAsia="Times New Roman" w:hAnsi="Times New Roman" w:cs="Times New Roman"/>
            <w:color w:val="2F4A8B"/>
            <w:sz w:val="25"/>
            <w:szCs w:val="25"/>
            <w:u w:val="single"/>
          </w:rPr>
          <w:t>Goren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1989</w:t>
        </w:r>
      </w:hyperlink>
      <w:r w:rsidRPr="00AB7588">
        <w:rPr>
          <w:rFonts w:ascii="Times New Roman" w:eastAsia="Times New Roman" w:hAnsi="Times New Roman" w:cs="Times New Roman"/>
          <w:color w:val="000000"/>
          <w:sz w:val="25"/>
          <w:szCs w:val="25"/>
        </w:rPr>
        <w:t>; </w:t>
      </w:r>
      <w:hyperlink r:id="rId110" w:anchor="bibr58-2042018816638223" w:history="1">
        <w:r w:rsidRPr="00AB7588">
          <w:rPr>
            <w:rFonts w:ascii="Times New Roman" w:eastAsia="Times New Roman" w:hAnsi="Times New Roman" w:cs="Times New Roman"/>
            <w:color w:val="2F4A8B"/>
            <w:sz w:val="25"/>
            <w:szCs w:val="25"/>
            <w:u w:val="single"/>
          </w:rPr>
          <w:t>Nahata, 1987</w:t>
        </w:r>
      </w:hyperlink>
      <w:r w:rsidRPr="00AB7588">
        <w:rPr>
          <w:rFonts w:ascii="Times New Roman" w:eastAsia="Times New Roman" w:hAnsi="Times New Roman" w:cs="Times New Roman"/>
          <w:color w:val="000000"/>
          <w:sz w:val="25"/>
          <w:szCs w:val="25"/>
        </w:rPr>
        <w:t>]. Although past studies had implied there was rarity of vancomycin-induced AKI in children, more recent data suggest otherwise. The incidence rate of vancomycin-associated AKI ranges from 12.6% to 27.2%. In a regression analysis of a study of 175 children, the likelihood of AKI increased by 16% with each 5 mg/kg vancomycin dosing and by 11% with every additional day of treatment [</w:t>
      </w:r>
      <w:hyperlink r:id="rId111" w:anchor="bibr81-2042018816638223" w:history="1">
        <w:r w:rsidRPr="00AB7588">
          <w:rPr>
            <w:rFonts w:ascii="Times New Roman" w:eastAsia="Times New Roman" w:hAnsi="Times New Roman" w:cs="Times New Roman"/>
            <w:color w:val="2F4A8B"/>
            <w:sz w:val="25"/>
            <w:szCs w:val="25"/>
            <w:u w:val="single"/>
          </w:rPr>
          <w:t>Sinclair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2014</w:t>
        </w:r>
      </w:hyperlink>
      <w:r w:rsidRPr="00AB7588">
        <w:rPr>
          <w:rFonts w:ascii="Times New Roman" w:eastAsia="Times New Roman" w:hAnsi="Times New Roman" w:cs="Times New Roman"/>
          <w:color w:val="000000"/>
          <w:sz w:val="25"/>
          <w:szCs w:val="25"/>
        </w:rPr>
        <w:t>]. Furthermore, there is fivefold higher incidence with a concurrent use of nephrotoxic drugs. Other notable determinants of VIN are critical illness, pretreatment kidney injury, and age less than 12 months [</w:t>
      </w:r>
      <w:hyperlink r:id="rId112" w:anchor="bibr48-2042018816638223" w:history="1">
        <w:r w:rsidRPr="00AB7588">
          <w:rPr>
            <w:rFonts w:ascii="Times New Roman" w:eastAsia="Times New Roman" w:hAnsi="Times New Roman" w:cs="Times New Roman"/>
            <w:color w:val="2F4A8B"/>
            <w:sz w:val="25"/>
            <w:szCs w:val="25"/>
            <w:u w:val="single"/>
          </w:rPr>
          <w:t>Knoderer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113" w:anchor="bibr72-2042018816638223" w:history="1">
        <w:r w:rsidRPr="00AB7588">
          <w:rPr>
            <w:rFonts w:ascii="Times New Roman" w:eastAsia="Times New Roman" w:hAnsi="Times New Roman" w:cs="Times New Roman"/>
            <w:color w:val="2F4A8B"/>
            <w:sz w:val="25"/>
            <w:szCs w:val="25"/>
            <w:u w:val="single"/>
          </w:rPr>
          <w:t>Ragab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2013</w:t>
        </w:r>
      </w:hyperlink>
      <w:r w:rsidRPr="00AB7588">
        <w:rPr>
          <w:rFonts w:ascii="Times New Roman" w:eastAsia="Times New Roman" w:hAnsi="Times New Roman" w:cs="Times New Roman"/>
          <w:color w:val="000000"/>
          <w:sz w:val="25"/>
          <w:szCs w:val="25"/>
        </w:rPr>
        <w:t>; </w:t>
      </w:r>
      <w:hyperlink r:id="rId114" w:anchor="bibr84-2042018816638223" w:history="1">
        <w:r w:rsidRPr="00AB7588">
          <w:rPr>
            <w:rFonts w:ascii="Times New Roman" w:eastAsia="Times New Roman" w:hAnsi="Times New Roman" w:cs="Times New Roman"/>
            <w:color w:val="2F4A8B"/>
            <w:sz w:val="25"/>
            <w:szCs w:val="25"/>
            <w:u w:val="single"/>
          </w:rPr>
          <w:t>Totapally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2013</w:t>
        </w:r>
      </w:hyperlink>
      <w:r w:rsidRPr="00AB7588">
        <w:rPr>
          <w:rFonts w:ascii="Times New Roman" w:eastAsia="Times New Roman" w:hAnsi="Times New Roman" w:cs="Times New Roman"/>
          <w:color w:val="000000"/>
          <w:sz w:val="25"/>
          <w:szCs w:val="25"/>
        </w:rPr>
        <w:t>]. Nevertheless, AKI is often modest in degree and it is frequently reversible. Although higher mortality rate occurred in patients who sustained AKI, there was restoration of baseline serum creatinine in the majority, 87% of the patients [</w:t>
      </w:r>
      <w:hyperlink r:id="rId115" w:anchor="bibr63-2042018816638223" w:history="1">
        <w:r w:rsidRPr="00AB7588">
          <w:rPr>
            <w:rFonts w:ascii="Times New Roman" w:eastAsia="Times New Roman" w:hAnsi="Times New Roman" w:cs="Times New Roman"/>
            <w:color w:val="2F4A8B"/>
            <w:sz w:val="25"/>
            <w:szCs w:val="25"/>
            <w:u w:val="single"/>
          </w:rPr>
          <w:t>Oktem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2005</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after="0" w:line="240" w:lineRule="auto"/>
        <w:jc w:val="right"/>
        <w:rPr>
          <w:rFonts w:ascii="Arial" w:eastAsia="Times New Roman" w:hAnsi="Arial" w:cs="Arial"/>
          <w:color w:val="000000"/>
          <w:sz w:val="25"/>
          <w:szCs w:val="25"/>
        </w:rPr>
      </w:pPr>
      <w:hyperlink r:id="rId116" w:tooltip="Go to other sections in this page" w:history="1">
        <w:r w:rsidRPr="00AB7588">
          <w:rPr>
            <w:rFonts w:ascii="Arial" w:eastAsia="Times New Roman" w:hAnsi="Arial" w:cs="Arial"/>
            <w:color w:val="2F4A8B"/>
            <w:sz w:val="25"/>
            <w:szCs w:val="25"/>
            <w:u w:val="single"/>
          </w:rPr>
          <w:t>Go to:</w:t>
        </w:r>
      </w:hyperlink>
    </w:p>
    <w:p w:rsidR="00AB7588" w:rsidRPr="00AB7588" w:rsidRDefault="00AB7588" w:rsidP="00AB7588">
      <w:pPr>
        <w:pBdr>
          <w:bottom w:val="single" w:sz="6" w:space="0" w:color="97B0C8"/>
        </w:pBdr>
        <w:shd w:val="clear" w:color="auto" w:fill="FFFFFF"/>
        <w:spacing w:before="270" w:after="0" w:line="267" w:lineRule="atLeast"/>
        <w:outlineLvl w:val="1"/>
        <w:rPr>
          <w:rFonts w:ascii="Arial" w:eastAsia="Times New Roman" w:hAnsi="Arial" w:cs="Arial"/>
          <w:b/>
          <w:bCs/>
          <w:color w:val="985735"/>
          <w:sz w:val="28"/>
          <w:szCs w:val="28"/>
        </w:rPr>
      </w:pPr>
      <w:r w:rsidRPr="00AB7588">
        <w:rPr>
          <w:rFonts w:ascii="Arial" w:eastAsia="Times New Roman" w:hAnsi="Arial" w:cs="Arial"/>
          <w:b/>
          <w:bCs/>
          <w:color w:val="985735"/>
          <w:sz w:val="28"/>
          <w:szCs w:val="28"/>
        </w:rPr>
        <w:t>Mechanisms of vancomycin-induced nephrotoxicity</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Although the mechanism underlying renal toxicity from vancomycin is not fully understood, experimental studies supported proinflammatory oxidation, mitochondrial dysfunction and cellular apoptosis as the principal modes of injury. Oxidative phosphorylation by vancomycin induces free oxygen radicals and thereby reduces the activity of defensive antioxidative enzymes including superoxide dismutase and catalases. In experimental animals, coadministration (or pretreatment) of rats with antioxidative compounds that express superoxide dismutase attenuated proximal renal tubular injury with a favorable histological outcome [</w:t>
      </w:r>
      <w:hyperlink r:id="rId117" w:anchor="bibr63-2042018816638223" w:history="1">
        <w:r w:rsidRPr="00AB7588">
          <w:rPr>
            <w:rFonts w:ascii="Times New Roman" w:eastAsia="Times New Roman" w:hAnsi="Times New Roman" w:cs="Times New Roman"/>
            <w:color w:val="2F4A8B"/>
            <w:sz w:val="25"/>
            <w:szCs w:val="25"/>
            <w:u w:val="single"/>
          </w:rPr>
          <w:t>Oktem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2005</w:t>
        </w:r>
      </w:hyperlink>
      <w:r w:rsidRPr="00AB7588">
        <w:rPr>
          <w:rFonts w:ascii="Times New Roman" w:eastAsia="Times New Roman" w:hAnsi="Times New Roman" w:cs="Times New Roman"/>
          <w:color w:val="000000"/>
          <w:sz w:val="25"/>
          <w:szCs w:val="25"/>
        </w:rPr>
        <w:t>; </w:t>
      </w:r>
      <w:hyperlink r:id="rId118" w:anchor="bibr61-2042018816638223" w:history="1">
        <w:r w:rsidRPr="00AB7588">
          <w:rPr>
            <w:rFonts w:ascii="Times New Roman" w:eastAsia="Times New Roman" w:hAnsi="Times New Roman" w:cs="Times New Roman"/>
            <w:color w:val="2F4A8B"/>
            <w:sz w:val="25"/>
            <w:szCs w:val="25"/>
            <w:u w:val="single"/>
          </w:rPr>
          <w:t>Nishino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2003</w:t>
        </w:r>
      </w:hyperlink>
      <w:r w:rsidRPr="00AB7588">
        <w:rPr>
          <w:rFonts w:ascii="Times New Roman" w:eastAsia="Times New Roman" w:hAnsi="Times New Roman" w:cs="Times New Roman"/>
          <w:color w:val="000000"/>
          <w:sz w:val="25"/>
          <w:szCs w:val="25"/>
        </w:rPr>
        <w:t>]. Superoxide production by vancomycin causes depolarization of mitochondrial membrane potential with a release of cytochrome C, and a subsequent activation of both caspases 9 and 3 [</w:t>
      </w:r>
      <w:hyperlink r:id="rId119" w:anchor="bibr2-2042018816638223" w:history="1">
        <w:r w:rsidRPr="00AB7588">
          <w:rPr>
            <w:rFonts w:ascii="Times New Roman" w:eastAsia="Times New Roman" w:hAnsi="Times New Roman" w:cs="Times New Roman"/>
            <w:color w:val="2F4A8B"/>
            <w:sz w:val="25"/>
            <w:szCs w:val="25"/>
            <w:u w:val="single"/>
          </w:rPr>
          <w:t>Arimura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2012</w:t>
        </w:r>
      </w:hyperlink>
      <w:r w:rsidRPr="00AB7588">
        <w:rPr>
          <w:rFonts w:ascii="Times New Roman" w:eastAsia="Times New Roman" w:hAnsi="Times New Roman" w:cs="Times New Roman"/>
          <w:color w:val="000000"/>
          <w:sz w:val="25"/>
          <w:szCs w:val="25"/>
        </w:rPr>
        <w:t>; </w:t>
      </w:r>
      <w:hyperlink r:id="rId120" w:anchor="bibr46-2042018816638223" w:history="1">
        <w:r w:rsidRPr="00AB7588">
          <w:rPr>
            <w:rFonts w:ascii="Times New Roman" w:eastAsia="Times New Roman" w:hAnsi="Times New Roman" w:cs="Times New Roman"/>
            <w:color w:val="2F4A8B"/>
            <w:sz w:val="25"/>
            <w:szCs w:val="25"/>
            <w:u w:val="single"/>
          </w:rPr>
          <w:t>Humanes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The latter is involved in apoptotic cell death. In support of apoptotic mechanism, overactivation of poly (adenosine diphosphate ribose) polymerase 1 (PARP-1) activity, a pathway involved in DNA repair, has been demonstrated in rats administered vancomycin [</w:t>
      </w:r>
      <w:hyperlink r:id="rId121" w:anchor="bibr19-2042018816638223" w:history="1">
        <w:r w:rsidRPr="00AB7588">
          <w:rPr>
            <w:rFonts w:ascii="Times New Roman" w:eastAsia="Times New Roman" w:hAnsi="Times New Roman" w:cs="Times New Roman"/>
            <w:color w:val="2F4A8B"/>
            <w:sz w:val="25"/>
            <w:szCs w:val="25"/>
            <w:u w:val="single"/>
          </w:rPr>
          <w:t>Dalaklioglu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2010</w:t>
        </w:r>
      </w:hyperlink>
      <w:r w:rsidRPr="00AB7588">
        <w:rPr>
          <w:rFonts w:ascii="Times New Roman" w:eastAsia="Times New Roman" w:hAnsi="Times New Roman" w:cs="Times New Roman"/>
          <w:color w:val="000000"/>
          <w:sz w:val="25"/>
          <w:szCs w:val="25"/>
        </w:rPr>
        <w:t>]. In this study, concurrent treatment with 1</w:t>
      </w:r>
      <w:proofErr w:type="gramStart"/>
      <w:r w:rsidRPr="00AB7588">
        <w:rPr>
          <w:rFonts w:ascii="Times New Roman" w:eastAsia="Times New Roman" w:hAnsi="Times New Roman" w:cs="Times New Roman"/>
          <w:color w:val="000000"/>
          <w:sz w:val="25"/>
          <w:szCs w:val="25"/>
        </w:rPr>
        <w:t>,5</w:t>
      </w:r>
      <w:proofErr w:type="gramEnd"/>
      <w:r w:rsidRPr="00AB7588">
        <w:rPr>
          <w:rFonts w:ascii="Times New Roman" w:eastAsia="Times New Roman" w:hAnsi="Times New Roman" w:cs="Times New Roman"/>
          <w:color w:val="000000"/>
          <w:sz w:val="25"/>
          <w:szCs w:val="25"/>
        </w:rPr>
        <w:t>-isoquinelinediol, a PARP inhibitor, attenuated the intensity of the renal injury. Similarly, by reducing vancomycin cellular uptake, cilastatin inhibited dehydropeptidase on brush border modulated the apoptotic activity observed in a culture medium of porcine renal proximal tubular epithelial cells [</w:t>
      </w:r>
      <w:hyperlink r:id="rId122" w:anchor="bibr46-2042018816638223" w:history="1">
        <w:r w:rsidRPr="00AB7588">
          <w:rPr>
            <w:rFonts w:ascii="Times New Roman" w:eastAsia="Times New Roman" w:hAnsi="Times New Roman" w:cs="Times New Roman"/>
            <w:color w:val="2F4A8B"/>
            <w:sz w:val="25"/>
            <w:szCs w:val="25"/>
            <w:u w:val="single"/>
          </w:rPr>
          <w:t>Humanes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after="0" w:line="240" w:lineRule="auto"/>
        <w:jc w:val="right"/>
        <w:rPr>
          <w:rFonts w:ascii="Arial" w:eastAsia="Times New Roman" w:hAnsi="Arial" w:cs="Arial"/>
          <w:color w:val="000000"/>
          <w:sz w:val="25"/>
          <w:szCs w:val="25"/>
        </w:rPr>
      </w:pPr>
      <w:hyperlink r:id="rId123" w:tooltip="Go to other sections in this page" w:history="1">
        <w:r w:rsidRPr="00AB7588">
          <w:rPr>
            <w:rFonts w:ascii="Arial" w:eastAsia="Times New Roman" w:hAnsi="Arial" w:cs="Arial"/>
            <w:color w:val="2F4A8B"/>
            <w:sz w:val="25"/>
            <w:szCs w:val="25"/>
            <w:u w:val="single"/>
          </w:rPr>
          <w:t>Go to:</w:t>
        </w:r>
      </w:hyperlink>
    </w:p>
    <w:p w:rsidR="00AB7588" w:rsidRPr="00AB7588" w:rsidRDefault="00AB7588" w:rsidP="00AB7588">
      <w:pPr>
        <w:pBdr>
          <w:bottom w:val="single" w:sz="6" w:space="0" w:color="97B0C8"/>
        </w:pBdr>
        <w:shd w:val="clear" w:color="auto" w:fill="FFFFFF"/>
        <w:spacing w:before="270" w:after="0" w:line="267" w:lineRule="atLeast"/>
        <w:outlineLvl w:val="1"/>
        <w:rPr>
          <w:rFonts w:ascii="Arial" w:eastAsia="Times New Roman" w:hAnsi="Arial" w:cs="Arial"/>
          <w:b/>
          <w:bCs/>
          <w:color w:val="985735"/>
          <w:sz w:val="28"/>
          <w:szCs w:val="28"/>
        </w:rPr>
      </w:pPr>
      <w:r w:rsidRPr="00AB7588">
        <w:rPr>
          <w:rFonts w:ascii="Arial" w:eastAsia="Times New Roman" w:hAnsi="Arial" w:cs="Arial"/>
          <w:b/>
          <w:bCs/>
          <w:color w:val="985735"/>
          <w:sz w:val="28"/>
          <w:szCs w:val="28"/>
        </w:rPr>
        <w:t>Histological aspects of kidney injury</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Given that vancomycin renal toxicity often occurs in the setting of critical illness and it is frequently self limiting, there is hardly any justification for kidney biopsy in most patients. Hence there are no systematic studies on the pattern of histological injury. However, there are multiple case reports of patients who have had kidney biopsy as clinically indicated [</w:t>
      </w:r>
      <w:hyperlink r:id="rId124" w:anchor="bibr88-2042018816638223" w:history="1">
        <w:r w:rsidRPr="00AB7588">
          <w:rPr>
            <w:rFonts w:ascii="Times New Roman" w:eastAsia="Times New Roman" w:hAnsi="Times New Roman" w:cs="Times New Roman"/>
            <w:color w:val="2F4A8B"/>
            <w:sz w:val="25"/>
            <w:szCs w:val="25"/>
            <w:u w:val="single"/>
          </w:rPr>
          <w:t>Wicklow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2006</w:t>
        </w:r>
      </w:hyperlink>
      <w:r w:rsidRPr="00AB7588">
        <w:rPr>
          <w:rFonts w:ascii="Times New Roman" w:eastAsia="Times New Roman" w:hAnsi="Times New Roman" w:cs="Times New Roman"/>
          <w:color w:val="000000"/>
          <w:sz w:val="25"/>
          <w:szCs w:val="25"/>
        </w:rPr>
        <w:t>; </w:t>
      </w:r>
      <w:hyperlink r:id="rId125" w:anchor="bibr91-2042018816638223" w:history="1">
        <w:r w:rsidRPr="00AB7588">
          <w:rPr>
            <w:rFonts w:ascii="Times New Roman" w:eastAsia="Times New Roman" w:hAnsi="Times New Roman" w:cs="Times New Roman"/>
            <w:color w:val="2F4A8B"/>
            <w:sz w:val="25"/>
            <w:szCs w:val="25"/>
            <w:u w:val="single"/>
          </w:rPr>
          <w:t>Wu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2007</w:t>
        </w:r>
      </w:hyperlink>
      <w:r w:rsidRPr="00AB7588">
        <w:rPr>
          <w:rFonts w:ascii="Times New Roman" w:eastAsia="Times New Roman" w:hAnsi="Times New Roman" w:cs="Times New Roman"/>
          <w:color w:val="000000"/>
          <w:sz w:val="25"/>
          <w:szCs w:val="25"/>
        </w:rPr>
        <w:t>; </w:t>
      </w:r>
      <w:hyperlink r:id="rId126" w:anchor="bibr40-2042018816638223" w:history="1">
        <w:r w:rsidRPr="00AB7588">
          <w:rPr>
            <w:rFonts w:ascii="Times New Roman" w:eastAsia="Times New Roman" w:hAnsi="Times New Roman" w:cs="Times New Roman"/>
            <w:color w:val="2F4A8B"/>
            <w:sz w:val="25"/>
            <w:szCs w:val="25"/>
            <w:u w:val="single"/>
          </w:rPr>
          <w:t>Hong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2007</w:t>
        </w:r>
      </w:hyperlink>
      <w:r w:rsidRPr="00AB7588">
        <w:rPr>
          <w:rFonts w:ascii="Times New Roman" w:eastAsia="Times New Roman" w:hAnsi="Times New Roman" w:cs="Times New Roman"/>
          <w:color w:val="000000"/>
          <w:sz w:val="25"/>
          <w:szCs w:val="25"/>
        </w:rPr>
        <w:t>; </w:t>
      </w:r>
      <w:hyperlink r:id="rId127" w:anchor="bibr69-2042018816638223" w:history="1">
        <w:r w:rsidRPr="00AB7588">
          <w:rPr>
            <w:rFonts w:ascii="Times New Roman" w:eastAsia="Times New Roman" w:hAnsi="Times New Roman" w:cs="Times New Roman"/>
            <w:color w:val="2F4A8B"/>
            <w:sz w:val="25"/>
            <w:szCs w:val="25"/>
            <w:u w:val="single"/>
          </w:rPr>
          <w:t>Plakogiannis and Nogid, 2007</w:t>
        </w:r>
      </w:hyperlink>
      <w:r w:rsidRPr="00AB7588">
        <w:rPr>
          <w:rFonts w:ascii="Times New Roman" w:eastAsia="Times New Roman" w:hAnsi="Times New Roman" w:cs="Times New Roman"/>
          <w:color w:val="000000"/>
          <w:sz w:val="25"/>
          <w:szCs w:val="25"/>
        </w:rPr>
        <w:t>; </w:t>
      </w:r>
      <w:hyperlink r:id="rId128" w:anchor="bibr96-2042018816638223" w:history="1">
        <w:r w:rsidRPr="00AB7588">
          <w:rPr>
            <w:rFonts w:ascii="Times New Roman" w:eastAsia="Times New Roman" w:hAnsi="Times New Roman" w:cs="Times New Roman"/>
            <w:color w:val="2F4A8B"/>
            <w:sz w:val="25"/>
            <w:szCs w:val="25"/>
            <w:u w:val="single"/>
          </w:rPr>
          <w:t>Zuliani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2005</w:t>
        </w:r>
      </w:hyperlink>
      <w:r w:rsidRPr="00AB7588">
        <w:rPr>
          <w:rFonts w:ascii="Times New Roman" w:eastAsia="Times New Roman" w:hAnsi="Times New Roman" w:cs="Times New Roman"/>
          <w:color w:val="000000"/>
          <w:sz w:val="25"/>
          <w:szCs w:val="25"/>
        </w:rPr>
        <w:t>]. The histological findings on the majority of such reports are acute interstitial nephritis, a few of which were associated with non-caseating granuloma lesions. There are also rare instances of acute tubular necrosis [</w:t>
      </w:r>
      <w:hyperlink r:id="rId129" w:anchor="bibr88-2042018816638223" w:history="1">
        <w:r w:rsidRPr="00AB7588">
          <w:rPr>
            <w:rFonts w:ascii="Times New Roman" w:eastAsia="Times New Roman" w:hAnsi="Times New Roman" w:cs="Times New Roman"/>
            <w:color w:val="2F4A8B"/>
            <w:sz w:val="25"/>
            <w:szCs w:val="25"/>
            <w:u w:val="single"/>
          </w:rPr>
          <w:t>Wicklow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2006</w:t>
        </w:r>
      </w:hyperlink>
      <w:r w:rsidRPr="00AB7588">
        <w:rPr>
          <w:rFonts w:ascii="Times New Roman" w:eastAsia="Times New Roman" w:hAnsi="Times New Roman" w:cs="Times New Roman"/>
          <w:color w:val="000000"/>
          <w:sz w:val="25"/>
          <w:szCs w:val="25"/>
        </w:rPr>
        <w:t>; </w:t>
      </w:r>
      <w:hyperlink r:id="rId130" w:anchor="bibr91-2042018816638223" w:history="1">
        <w:r w:rsidRPr="00AB7588">
          <w:rPr>
            <w:rFonts w:ascii="Times New Roman" w:eastAsia="Times New Roman" w:hAnsi="Times New Roman" w:cs="Times New Roman"/>
            <w:color w:val="2F4A8B"/>
            <w:sz w:val="25"/>
            <w:szCs w:val="25"/>
            <w:u w:val="single"/>
          </w:rPr>
          <w:t>Wu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2007</w:t>
        </w:r>
      </w:hyperlink>
      <w:r w:rsidRPr="00AB7588">
        <w:rPr>
          <w:rFonts w:ascii="Times New Roman" w:eastAsia="Times New Roman" w:hAnsi="Times New Roman" w:cs="Times New Roman"/>
          <w:color w:val="000000"/>
          <w:sz w:val="25"/>
          <w:szCs w:val="25"/>
        </w:rPr>
        <w:t>; </w:t>
      </w:r>
      <w:hyperlink r:id="rId131" w:anchor="bibr40-2042018816638223" w:history="1">
        <w:r w:rsidRPr="00AB7588">
          <w:rPr>
            <w:rFonts w:ascii="Times New Roman" w:eastAsia="Times New Roman" w:hAnsi="Times New Roman" w:cs="Times New Roman"/>
            <w:color w:val="2F4A8B"/>
            <w:sz w:val="25"/>
            <w:szCs w:val="25"/>
            <w:u w:val="single"/>
          </w:rPr>
          <w:t>Hong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2007</w:t>
        </w:r>
      </w:hyperlink>
      <w:r w:rsidRPr="00AB7588">
        <w:rPr>
          <w:rFonts w:ascii="Times New Roman" w:eastAsia="Times New Roman" w:hAnsi="Times New Roman" w:cs="Times New Roman"/>
          <w:color w:val="000000"/>
          <w:sz w:val="25"/>
          <w:szCs w:val="25"/>
        </w:rPr>
        <w:t>; </w:t>
      </w:r>
      <w:hyperlink r:id="rId132" w:anchor="bibr69-2042018816638223" w:history="1">
        <w:r w:rsidRPr="00AB7588">
          <w:rPr>
            <w:rFonts w:ascii="Times New Roman" w:eastAsia="Times New Roman" w:hAnsi="Times New Roman" w:cs="Times New Roman"/>
            <w:color w:val="2F4A8B"/>
            <w:sz w:val="25"/>
            <w:szCs w:val="25"/>
            <w:u w:val="single"/>
          </w:rPr>
          <w:t>Plakogiannis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2007</w:t>
        </w:r>
      </w:hyperlink>
      <w:r w:rsidRPr="00AB7588">
        <w:rPr>
          <w:rFonts w:ascii="Times New Roman" w:eastAsia="Times New Roman" w:hAnsi="Times New Roman" w:cs="Times New Roman"/>
          <w:color w:val="000000"/>
          <w:sz w:val="25"/>
          <w:szCs w:val="25"/>
        </w:rPr>
        <w:t>]. In some of the reports, there were concurrent dermatological features: diffuse erythematous plaques, erythema multiforme and fatal toxic epidermal necrolysis [</w:t>
      </w:r>
      <w:hyperlink r:id="rId133" w:anchor="bibr69-2042018816638223" w:history="1">
        <w:r w:rsidRPr="00AB7588">
          <w:rPr>
            <w:rFonts w:ascii="Times New Roman" w:eastAsia="Times New Roman" w:hAnsi="Times New Roman" w:cs="Times New Roman"/>
            <w:color w:val="2F4A8B"/>
            <w:sz w:val="25"/>
            <w:szCs w:val="25"/>
            <w:u w:val="single"/>
          </w:rPr>
          <w:t>Plakogiannis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2007</w:t>
        </w:r>
      </w:hyperlink>
      <w:r w:rsidRPr="00AB7588">
        <w:rPr>
          <w:rFonts w:ascii="Times New Roman" w:eastAsia="Times New Roman" w:hAnsi="Times New Roman" w:cs="Times New Roman"/>
          <w:color w:val="000000"/>
          <w:sz w:val="25"/>
          <w:szCs w:val="25"/>
        </w:rPr>
        <w:t>; </w:t>
      </w:r>
      <w:hyperlink r:id="rId134" w:anchor="bibr44-2042018816638223" w:history="1">
        <w:r w:rsidRPr="00AB7588">
          <w:rPr>
            <w:rFonts w:ascii="Times New Roman" w:eastAsia="Times New Roman" w:hAnsi="Times New Roman" w:cs="Times New Roman"/>
            <w:color w:val="2F4A8B"/>
            <w:sz w:val="25"/>
            <w:szCs w:val="25"/>
            <w:u w:val="single"/>
          </w:rPr>
          <w:t>Hsu, 2001</w:t>
        </w:r>
      </w:hyperlink>
      <w:r w:rsidRPr="00AB7588">
        <w:rPr>
          <w:rFonts w:ascii="Times New Roman" w:eastAsia="Times New Roman" w:hAnsi="Times New Roman" w:cs="Times New Roman"/>
          <w:color w:val="000000"/>
          <w:sz w:val="25"/>
          <w:szCs w:val="25"/>
        </w:rPr>
        <w:t>]. Despite the bias inherited in these reports they provide direct pathological evidence for a possible mechanism of injury in selected patients.</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Apparently due to a rising frequency of use, vancomycin is increasingly recognized as a major etiological factor in Drug Rash with Eosinophilia and Systemic Symptoms (DRESS syndrome), a distinct but severe hypersensitivity reaction. Characteristic features include skin rash, fever, eosinophilia, atypical lymphocytes, lymphadenopathy and visceral involvement [</w:t>
      </w:r>
      <w:hyperlink r:id="rId135" w:anchor="bibr96-2042018816638223" w:history="1">
        <w:r w:rsidRPr="00AB7588">
          <w:rPr>
            <w:rFonts w:ascii="Times New Roman" w:eastAsia="Times New Roman" w:hAnsi="Times New Roman" w:cs="Times New Roman"/>
            <w:color w:val="2F4A8B"/>
            <w:sz w:val="25"/>
            <w:szCs w:val="25"/>
            <w:u w:val="single"/>
          </w:rPr>
          <w:t>Zuliani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2005</w:t>
        </w:r>
      </w:hyperlink>
      <w:r w:rsidRPr="00AB7588">
        <w:rPr>
          <w:rFonts w:ascii="Times New Roman" w:eastAsia="Times New Roman" w:hAnsi="Times New Roman" w:cs="Times New Roman"/>
          <w:color w:val="000000"/>
          <w:sz w:val="25"/>
          <w:szCs w:val="25"/>
        </w:rPr>
        <w:t>]. As part of the visceral components, acute interstitial nephritis occurs in about 10%. In a review of inpatient consultation at a Boston tertiary hospital over an 18-month period, six patients fulfilled the clinical criteria for DRESS syndrome [</w:t>
      </w:r>
      <w:hyperlink r:id="rId136" w:anchor="bibr6-2042018816638223" w:history="1">
        <w:r w:rsidRPr="00AB7588">
          <w:rPr>
            <w:rFonts w:ascii="Times New Roman" w:eastAsia="Times New Roman" w:hAnsi="Times New Roman" w:cs="Times New Roman"/>
            <w:color w:val="2F4A8B"/>
            <w:sz w:val="25"/>
            <w:szCs w:val="25"/>
            <w:u w:val="single"/>
          </w:rPr>
          <w:t>Blumenthal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2012</w:t>
        </w:r>
      </w:hyperlink>
      <w:r w:rsidRPr="00AB7588">
        <w:rPr>
          <w:rFonts w:ascii="Times New Roman" w:eastAsia="Times New Roman" w:hAnsi="Times New Roman" w:cs="Times New Roman"/>
          <w:color w:val="000000"/>
          <w:sz w:val="25"/>
          <w:szCs w:val="25"/>
        </w:rPr>
        <w:t>]. Eighty-three percent of these events were attributed to vancomycin, and there was elevated human herpesvirus 6 immunoglobulin G titer in 60% of the patients. Outcome is favorable with prompt withdrawal of the offending drugs and early institution of steroids but case fatality rate was close to 10% [</w:t>
      </w:r>
      <w:hyperlink r:id="rId137" w:anchor="bibr96-2042018816638223" w:history="1">
        <w:r w:rsidRPr="00AB7588">
          <w:rPr>
            <w:rFonts w:ascii="Times New Roman" w:eastAsia="Times New Roman" w:hAnsi="Times New Roman" w:cs="Times New Roman"/>
            <w:color w:val="2F4A8B"/>
            <w:sz w:val="25"/>
            <w:szCs w:val="25"/>
            <w:u w:val="single"/>
          </w:rPr>
          <w:t>Zuliani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2005</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after="0" w:line="240" w:lineRule="auto"/>
        <w:jc w:val="right"/>
        <w:rPr>
          <w:rFonts w:ascii="Arial" w:eastAsia="Times New Roman" w:hAnsi="Arial" w:cs="Arial"/>
          <w:color w:val="000000"/>
          <w:sz w:val="25"/>
          <w:szCs w:val="25"/>
        </w:rPr>
      </w:pPr>
      <w:hyperlink r:id="rId138" w:tooltip="Go to other sections in this page" w:history="1">
        <w:r w:rsidRPr="00AB7588">
          <w:rPr>
            <w:rFonts w:ascii="Arial" w:eastAsia="Times New Roman" w:hAnsi="Arial" w:cs="Arial"/>
            <w:color w:val="2F4A8B"/>
            <w:sz w:val="25"/>
            <w:szCs w:val="25"/>
            <w:u w:val="single"/>
          </w:rPr>
          <w:t>Go to:</w:t>
        </w:r>
      </w:hyperlink>
    </w:p>
    <w:p w:rsidR="00AB7588" w:rsidRPr="00AB7588" w:rsidRDefault="00AB7588" w:rsidP="00AB7588">
      <w:pPr>
        <w:pBdr>
          <w:bottom w:val="single" w:sz="6" w:space="0" w:color="97B0C8"/>
        </w:pBdr>
        <w:shd w:val="clear" w:color="auto" w:fill="FFFFFF"/>
        <w:spacing w:before="270" w:after="0" w:line="267" w:lineRule="atLeast"/>
        <w:outlineLvl w:val="1"/>
        <w:rPr>
          <w:rFonts w:ascii="Arial" w:eastAsia="Times New Roman" w:hAnsi="Arial" w:cs="Arial"/>
          <w:b/>
          <w:bCs/>
          <w:color w:val="985735"/>
          <w:sz w:val="28"/>
          <w:szCs w:val="28"/>
        </w:rPr>
      </w:pPr>
      <w:r w:rsidRPr="00AB7588">
        <w:rPr>
          <w:rFonts w:ascii="Arial" w:eastAsia="Times New Roman" w:hAnsi="Arial" w:cs="Arial"/>
          <w:b/>
          <w:bCs/>
          <w:color w:val="985735"/>
          <w:sz w:val="28"/>
          <w:szCs w:val="28"/>
        </w:rPr>
        <w:t>Prevention of vancomycin-induced AKI</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Although most vancomycin nephrotoxic events are deemed reversible, available data support there is prolonged hospitalization, increased mortality rate and higher incidence of ESKD from AKI of any cause [</w:t>
      </w:r>
      <w:hyperlink r:id="rId139" w:anchor="bibr70-2042018816638223" w:history="1">
        <w:r w:rsidRPr="00AB7588">
          <w:rPr>
            <w:rFonts w:ascii="Times New Roman" w:eastAsia="Times New Roman" w:hAnsi="Times New Roman" w:cs="Times New Roman"/>
            <w:color w:val="2F4A8B"/>
            <w:sz w:val="25"/>
            <w:szCs w:val="25"/>
            <w:u w:val="single"/>
          </w:rPr>
          <w:t>Prendecki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2016</w:t>
        </w:r>
      </w:hyperlink>
      <w:r w:rsidRPr="00AB7588">
        <w:rPr>
          <w:rFonts w:ascii="Times New Roman" w:eastAsia="Times New Roman" w:hAnsi="Times New Roman" w:cs="Times New Roman"/>
          <w:color w:val="000000"/>
          <w:sz w:val="25"/>
          <w:szCs w:val="25"/>
        </w:rPr>
        <w:t>]. For this reason, awareness of these complications particularly in critically ill patients may allow prompt intervention. Customized dosing of vancomycin on the basis of patient characteristics, baseline creatinine clearance, pattern of microbial resistance, MIC of the pathogen involved, and specific population pharmacokinetics may be advantageous [</w:t>
      </w:r>
      <w:hyperlink r:id="rId140" w:anchor="bibr75-2042018816638223" w:history="1">
        <w:r w:rsidRPr="00AB7588">
          <w:rPr>
            <w:rFonts w:ascii="Times New Roman" w:eastAsia="Times New Roman" w:hAnsi="Times New Roman" w:cs="Times New Roman"/>
            <w:color w:val="2F4A8B"/>
            <w:sz w:val="25"/>
            <w:szCs w:val="25"/>
            <w:u w:val="single"/>
          </w:rPr>
          <w:t>Roberts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2014</w:t>
        </w:r>
      </w:hyperlink>
      <w:r w:rsidRPr="00AB7588">
        <w:rPr>
          <w:rFonts w:ascii="Times New Roman" w:eastAsia="Times New Roman" w:hAnsi="Times New Roman" w:cs="Times New Roman"/>
          <w:color w:val="000000"/>
          <w:sz w:val="25"/>
          <w:szCs w:val="25"/>
        </w:rPr>
        <w:t>]. However, there is need for comprehensive studies on the decision-making process for customized vancomycin dose adjustment on the basis of these parameters [</w:t>
      </w:r>
      <w:hyperlink r:id="rId141" w:anchor="bibr87-2042018816638223" w:history="1">
        <w:r w:rsidRPr="00AB7588">
          <w:rPr>
            <w:rFonts w:ascii="Times New Roman" w:eastAsia="Times New Roman" w:hAnsi="Times New Roman" w:cs="Times New Roman"/>
            <w:color w:val="2F4A8B"/>
            <w:sz w:val="25"/>
            <w:szCs w:val="25"/>
            <w:u w:val="single"/>
          </w:rPr>
          <w:t>van Hal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2013</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308" w:after="154" w:line="300" w:lineRule="atLeast"/>
        <w:outlineLvl w:val="2"/>
        <w:rPr>
          <w:rFonts w:ascii="Arial" w:eastAsia="Times New Roman" w:hAnsi="Arial" w:cs="Arial"/>
          <w:b/>
          <w:bCs/>
          <w:color w:val="724128"/>
          <w:sz w:val="25"/>
          <w:szCs w:val="25"/>
        </w:rPr>
      </w:pPr>
      <w:r w:rsidRPr="00AB7588">
        <w:rPr>
          <w:rFonts w:ascii="Arial" w:eastAsia="Times New Roman" w:hAnsi="Arial" w:cs="Arial"/>
          <w:b/>
          <w:bCs/>
          <w:color w:val="724128"/>
          <w:sz w:val="25"/>
          <w:szCs w:val="25"/>
        </w:rPr>
        <w:t>Therapeutic drug monitoring</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Although studies on the cost effectiveness of therapeutic monitoring are erroneously based on short-term outcome, there is suggestion of its benefit in high-risk clinical settings that include the following: patients who are being treated with a combination of vancomycin and a nephrotoxic agent (e.g. aminoglycosides); patients with CKD or ESKD and those who are undergoing HD; patients who are being treated with higher than usual doses of vancomycin (e.g. doses &gt;4 g per day), which may include patients with pneumonia, endocarditis, osteomyelitis and meningitis; and critically ill patients who are likely to experience rapid changes in renal function [</w:t>
      </w:r>
      <w:hyperlink r:id="rId142" w:anchor="bibr21-2042018816638223" w:history="1">
        <w:r w:rsidRPr="00AB7588">
          <w:rPr>
            <w:rFonts w:ascii="Times New Roman" w:eastAsia="Times New Roman" w:hAnsi="Times New Roman" w:cs="Times New Roman"/>
            <w:color w:val="2F4A8B"/>
            <w:sz w:val="25"/>
            <w:szCs w:val="25"/>
            <w:u w:val="single"/>
          </w:rPr>
          <w:t>Darko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2003</w:t>
        </w:r>
      </w:hyperlink>
      <w:r w:rsidRPr="00AB7588">
        <w:rPr>
          <w:rFonts w:ascii="Times New Roman" w:eastAsia="Times New Roman" w:hAnsi="Times New Roman" w:cs="Times New Roman"/>
          <w:color w:val="000000"/>
          <w:sz w:val="25"/>
          <w:szCs w:val="25"/>
        </w:rPr>
        <w:t>]. Therapeutic effectiveness of vancomycin is independent of its concentration but it correlates with the duration at which the drug plasma level exceeds the MIC of the pathogen [</w:t>
      </w:r>
      <w:hyperlink r:id="rId143" w:anchor="bibr80-2042018816638223" w:history="1">
        <w:r w:rsidRPr="00AB7588">
          <w:rPr>
            <w:rFonts w:ascii="Times New Roman" w:eastAsia="Times New Roman" w:hAnsi="Times New Roman" w:cs="Times New Roman"/>
            <w:color w:val="2F4A8B"/>
            <w:sz w:val="25"/>
            <w:szCs w:val="25"/>
            <w:u w:val="single"/>
          </w:rPr>
          <w:t>Rybak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2009</w:t>
        </w:r>
      </w:hyperlink>
      <w:r w:rsidRPr="00AB7588">
        <w:rPr>
          <w:rFonts w:ascii="Times New Roman" w:eastAsia="Times New Roman" w:hAnsi="Times New Roman" w:cs="Times New Roman"/>
          <w:color w:val="000000"/>
          <w:sz w:val="25"/>
          <w:szCs w:val="25"/>
        </w:rPr>
        <w:t>]. Hence 24 h AUC relative to the MIC of the pathogen is recommended for the assessment of both efficacy and toxicity [</w:t>
      </w:r>
      <w:hyperlink r:id="rId144" w:anchor="bibr59-2042018816638223" w:history="1">
        <w:r w:rsidRPr="00AB7588">
          <w:rPr>
            <w:rFonts w:ascii="Times New Roman" w:eastAsia="Times New Roman" w:hAnsi="Times New Roman" w:cs="Times New Roman"/>
            <w:color w:val="2F4A8B"/>
            <w:sz w:val="25"/>
            <w:szCs w:val="25"/>
            <w:u w:val="single"/>
          </w:rPr>
          <w:t>Neely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2014</w:t>
        </w:r>
      </w:hyperlink>
      <w:r w:rsidRPr="00AB7588">
        <w:rPr>
          <w:rFonts w:ascii="Times New Roman" w:eastAsia="Times New Roman" w:hAnsi="Times New Roman" w:cs="Times New Roman"/>
          <w:color w:val="000000"/>
          <w:sz w:val="25"/>
          <w:szCs w:val="25"/>
        </w:rPr>
        <w:t>]. However, due to multiple blood samples and the complexity of AUC calculation, despite uncertain reliability trough levels are often used as the surrogates [Haeseker </w:t>
      </w:r>
      <w:r w:rsidRPr="00AB7588">
        <w:rPr>
          <w:rFonts w:ascii="Times New Roman" w:eastAsia="Times New Roman" w:hAnsi="Times New Roman" w:cs="Times New Roman"/>
          <w:i/>
          <w:iCs/>
          <w:color w:val="000000"/>
          <w:sz w:val="25"/>
          <w:szCs w:val="25"/>
        </w:rPr>
        <w:t>et al</w:t>
      </w:r>
      <w:r w:rsidRPr="00AB7588">
        <w:rPr>
          <w:rFonts w:ascii="Times New Roman" w:eastAsia="Times New Roman" w:hAnsi="Times New Roman" w:cs="Times New Roman"/>
          <w:color w:val="000000"/>
          <w:sz w:val="25"/>
          <w:szCs w:val="25"/>
        </w:rPr>
        <w:t>. 2015; </w:t>
      </w:r>
      <w:hyperlink r:id="rId145" w:anchor="bibr71-2042018816638223" w:history="1">
        <w:r w:rsidRPr="00AB7588">
          <w:rPr>
            <w:rFonts w:ascii="Times New Roman" w:eastAsia="Times New Roman" w:hAnsi="Times New Roman" w:cs="Times New Roman"/>
            <w:color w:val="2F4A8B"/>
            <w:sz w:val="25"/>
            <w:szCs w:val="25"/>
            <w:u w:val="single"/>
          </w:rPr>
          <w:t>Prybylski, 2015</w:t>
        </w:r>
      </w:hyperlink>
      <w:r w:rsidRPr="00AB7588">
        <w:rPr>
          <w:rFonts w:ascii="Times New Roman" w:eastAsia="Times New Roman" w:hAnsi="Times New Roman" w:cs="Times New Roman"/>
          <w:color w:val="000000"/>
          <w:sz w:val="25"/>
          <w:szCs w:val="25"/>
        </w:rPr>
        <w:t>]. In a large-scale population study, compared with 24 h AUC/MIC ratio, vancomycin trough was poorly predictive of mortality rate in patients with staphylococcal bacteremia [</w:t>
      </w:r>
      <w:hyperlink r:id="rId146" w:anchor="bibr71-2042018816638223" w:history="1">
        <w:r w:rsidRPr="00AB7588">
          <w:rPr>
            <w:rFonts w:ascii="Times New Roman" w:eastAsia="Times New Roman" w:hAnsi="Times New Roman" w:cs="Times New Roman"/>
            <w:color w:val="2F4A8B"/>
            <w:sz w:val="25"/>
            <w:szCs w:val="25"/>
            <w:u w:val="single"/>
          </w:rPr>
          <w:t>Prybylski, 2015</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To overcome the aforementioned limitations, there are available strategies aimed at reducing the number of blood samples and to facilitate customization of antibiotic therapy [</w:t>
      </w:r>
      <w:hyperlink r:id="rId147" w:anchor="bibr75-2042018816638223" w:history="1">
        <w:r w:rsidRPr="00AB7588">
          <w:rPr>
            <w:rFonts w:ascii="Times New Roman" w:eastAsia="Times New Roman" w:hAnsi="Times New Roman" w:cs="Times New Roman"/>
            <w:color w:val="2F4A8B"/>
            <w:sz w:val="25"/>
            <w:szCs w:val="25"/>
            <w:u w:val="single"/>
          </w:rPr>
          <w:t>Roberts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2014</w:t>
        </w:r>
      </w:hyperlink>
      <w:r w:rsidRPr="00AB7588">
        <w:rPr>
          <w:rFonts w:ascii="Times New Roman" w:eastAsia="Times New Roman" w:hAnsi="Times New Roman" w:cs="Times New Roman"/>
          <w:color w:val="000000"/>
          <w:sz w:val="25"/>
          <w:szCs w:val="25"/>
        </w:rPr>
        <w:t>]. Normogram allows for adjustment of doses by comparing a measured concentration at a given time point with an expected therapeutic range for the same period on a graph [</w:t>
      </w:r>
      <w:hyperlink r:id="rId148" w:anchor="bibr7-2042018816638223" w:history="1">
        <w:r w:rsidRPr="00AB7588">
          <w:rPr>
            <w:rFonts w:ascii="Times New Roman" w:eastAsia="Times New Roman" w:hAnsi="Times New Roman" w:cs="Times New Roman"/>
            <w:color w:val="2F4A8B"/>
            <w:sz w:val="25"/>
            <w:szCs w:val="25"/>
            <w:u w:val="single"/>
          </w:rPr>
          <w:t>Brown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 </w:t>
      </w:r>
      <w:hyperlink r:id="rId149" w:anchor="bibr68-2042018816638223" w:history="1">
        <w:r w:rsidRPr="00AB7588">
          <w:rPr>
            <w:rFonts w:ascii="Times New Roman" w:eastAsia="Times New Roman" w:hAnsi="Times New Roman" w:cs="Times New Roman"/>
            <w:color w:val="2F4A8B"/>
            <w:sz w:val="25"/>
            <w:szCs w:val="25"/>
            <w:u w:val="single"/>
          </w:rPr>
          <w:t>Pea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2009</w:t>
        </w:r>
      </w:hyperlink>
      <w:r w:rsidRPr="00AB7588">
        <w:rPr>
          <w:rFonts w:ascii="Times New Roman" w:eastAsia="Times New Roman" w:hAnsi="Times New Roman" w:cs="Times New Roman"/>
          <w:color w:val="000000"/>
          <w:sz w:val="25"/>
          <w:szCs w:val="25"/>
        </w:rPr>
        <w:t>; </w:t>
      </w:r>
      <w:hyperlink r:id="rId150" w:anchor="bibr49-2042018816638223" w:history="1">
        <w:r w:rsidRPr="00AB7588">
          <w:rPr>
            <w:rFonts w:ascii="Times New Roman" w:eastAsia="Times New Roman" w:hAnsi="Times New Roman" w:cs="Times New Roman"/>
            <w:color w:val="2F4A8B"/>
            <w:sz w:val="25"/>
            <w:szCs w:val="25"/>
            <w:u w:val="single"/>
          </w:rPr>
          <w:t>Kullar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 Nonlinear regression analysis derived from timed collection of vancomycin concentration allows dose prediction using data projected from a population pharmacokinetic model (e.g. AUC). Looking into the future, Roberts and colleagues proposed the use of software packages with the capacity for prediction of dose for an individual based on Bayesian posterior pharmacokinetic parameters [</w:t>
      </w:r>
      <w:hyperlink r:id="rId151" w:anchor="bibr75-2042018816638223" w:history="1">
        <w:r w:rsidRPr="00AB7588">
          <w:rPr>
            <w:rFonts w:ascii="Times New Roman" w:eastAsia="Times New Roman" w:hAnsi="Times New Roman" w:cs="Times New Roman"/>
            <w:color w:val="2F4A8B"/>
            <w:sz w:val="25"/>
            <w:szCs w:val="25"/>
            <w:u w:val="single"/>
          </w:rPr>
          <w:t>Roberts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2014</w:t>
        </w:r>
      </w:hyperlink>
      <w:r w:rsidRPr="00AB7588">
        <w:rPr>
          <w:rFonts w:ascii="Times New Roman" w:eastAsia="Times New Roman" w:hAnsi="Times New Roman" w:cs="Times New Roman"/>
          <w:color w:val="000000"/>
          <w:sz w:val="25"/>
          <w:szCs w:val="25"/>
        </w:rPr>
        <w:t>; </w:t>
      </w:r>
      <w:hyperlink r:id="rId152" w:anchor="bibr9-2042018816638223" w:history="1">
        <w:r w:rsidRPr="00AB7588">
          <w:rPr>
            <w:rFonts w:ascii="Times New Roman" w:eastAsia="Times New Roman" w:hAnsi="Times New Roman" w:cs="Times New Roman"/>
            <w:color w:val="2F4A8B"/>
            <w:sz w:val="25"/>
            <w:szCs w:val="25"/>
            <w:u w:val="single"/>
          </w:rPr>
          <w:t>Burton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1989</w:t>
        </w:r>
      </w:hyperlink>
      <w:r w:rsidRPr="00AB7588">
        <w:rPr>
          <w:rFonts w:ascii="Times New Roman" w:eastAsia="Times New Roman" w:hAnsi="Times New Roman" w:cs="Times New Roman"/>
          <w:color w:val="000000"/>
          <w:sz w:val="25"/>
          <w:szCs w:val="25"/>
        </w:rPr>
        <w:t>]. Estimation of such parameters will be derived from input of data on patient characteristics, MIC of the pathogen and </w:t>
      </w:r>
      <w:r w:rsidRPr="00AB7588">
        <w:rPr>
          <w:rFonts w:ascii="Times New Roman" w:eastAsia="Times New Roman" w:hAnsi="Times New Roman" w:cs="Times New Roman"/>
          <w:i/>
          <w:iCs/>
          <w:color w:val="000000"/>
          <w:sz w:val="25"/>
          <w:szCs w:val="25"/>
        </w:rPr>
        <w:t>a priori</w:t>
      </w:r>
      <w:r w:rsidRPr="00AB7588">
        <w:rPr>
          <w:rFonts w:ascii="Times New Roman" w:eastAsia="Times New Roman" w:hAnsi="Times New Roman" w:cs="Times New Roman"/>
          <w:color w:val="000000"/>
          <w:sz w:val="25"/>
          <w:szCs w:val="25"/>
        </w:rPr>
        <w:t> population PK indices. The latter have been developed for children and adults with ESKD, malignancy, critical illness and neutropenia [</w:t>
      </w:r>
      <w:hyperlink r:id="rId153" w:anchor="bibr50-2042018816638223" w:history="1">
        <w:r w:rsidRPr="00AB7588">
          <w:rPr>
            <w:rFonts w:ascii="Times New Roman" w:eastAsia="Times New Roman" w:hAnsi="Times New Roman" w:cs="Times New Roman"/>
            <w:color w:val="2F4A8B"/>
            <w:sz w:val="25"/>
            <w:szCs w:val="25"/>
            <w:u w:val="single"/>
          </w:rPr>
          <w:t>Le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154" w:anchor="bibr34-2042018816638223" w:history="1">
        <w:r w:rsidRPr="00AB7588">
          <w:rPr>
            <w:rFonts w:ascii="Times New Roman" w:eastAsia="Times New Roman" w:hAnsi="Times New Roman" w:cs="Times New Roman"/>
            <w:color w:val="2F4A8B"/>
            <w:sz w:val="25"/>
            <w:szCs w:val="25"/>
            <w:u w:val="single"/>
          </w:rPr>
          <w:t>Haeseker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2016</w:t>
        </w:r>
      </w:hyperlink>
      <w:r w:rsidRPr="00AB7588">
        <w:rPr>
          <w:rFonts w:ascii="Times New Roman" w:eastAsia="Times New Roman" w:hAnsi="Times New Roman" w:cs="Times New Roman"/>
          <w:color w:val="000000"/>
          <w:sz w:val="25"/>
          <w:szCs w:val="25"/>
        </w:rPr>
        <w:t>; </w:t>
      </w:r>
      <w:hyperlink r:id="rId155" w:anchor="bibr10-2042018816638223" w:history="1">
        <w:r w:rsidRPr="00AB7588">
          <w:rPr>
            <w:rFonts w:ascii="Times New Roman" w:eastAsia="Times New Roman" w:hAnsi="Times New Roman" w:cs="Times New Roman"/>
            <w:color w:val="2F4A8B"/>
            <w:sz w:val="25"/>
            <w:szCs w:val="25"/>
            <w:u w:val="single"/>
          </w:rPr>
          <w:t>Camaione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2013</w:t>
        </w:r>
      </w:hyperlink>
      <w:r w:rsidRPr="00AB7588">
        <w:rPr>
          <w:rFonts w:ascii="Times New Roman" w:eastAsia="Times New Roman" w:hAnsi="Times New Roman" w:cs="Times New Roman"/>
          <w:color w:val="000000"/>
          <w:sz w:val="25"/>
          <w:szCs w:val="25"/>
        </w:rPr>
        <w:t>; </w:t>
      </w:r>
      <w:hyperlink r:id="rId156" w:anchor="bibr1-2042018816638223" w:history="1">
        <w:r w:rsidRPr="00AB7588">
          <w:rPr>
            <w:rFonts w:ascii="Times New Roman" w:eastAsia="Times New Roman" w:hAnsi="Times New Roman" w:cs="Times New Roman"/>
            <w:color w:val="2F4A8B"/>
            <w:sz w:val="25"/>
            <w:szCs w:val="25"/>
            <w:u w:val="single"/>
          </w:rPr>
          <w:t>Abdel Hadi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157" w:anchor="bibr73-2042018816638223" w:history="1">
        <w:r w:rsidRPr="00AB7588">
          <w:rPr>
            <w:rFonts w:ascii="Times New Roman" w:eastAsia="Times New Roman" w:hAnsi="Times New Roman" w:cs="Times New Roman"/>
            <w:color w:val="2F4A8B"/>
            <w:sz w:val="25"/>
            <w:szCs w:val="25"/>
            <w:u w:val="single"/>
          </w:rPr>
          <w:t>Revilla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2010</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308" w:after="154" w:line="300" w:lineRule="atLeast"/>
        <w:outlineLvl w:val="2"/>
        <w:rPr>
          <w:rFonts w:ascii="Arial" w:eastAsia="Times New Roman" w:hAnsi="Arial" w:cs="Arial"/>
          <w:b/>
          <w:bCs/>
          <w:color w:val="724128"/>
          <w:sz w:val="25"/>
          <w:szCs w:val="25"/>
        </w:rPr>
      </w:pPr>
      <w:r w:rsidRPr="00AB7588">
        <w:rPr>
          <w:rFonts w:ascii="Arial" w:eastAsia="Times New Roman" w:hAnsi="Arial" w:cs="Arial"/>
          <w:b/>
          <w:bCs/>
          <w:color w:val="724128"/>
          <w:sz w:val="25"/>
          <w:szCs w:val="25"/>
        </w:rPr>
        <w:t>Drug modification</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There is a recent attempt to enhance therapeutic efficacy while reducing renal toxicity of vancomycin by improving the drug delivery system [</w:t>
      </w:r>
      <w:hyperlink r:id="rId158" w:anchor="bibr94-2042018816638223" w:history="1">
        <w:r w:rsidRPr="00AB7588">
          <w:rPr>
            <w:rFonts w:ascii="Times New Roman" w:eastAsia="Times New Roman" w:hAnsi="Times New Roman" w:cs="Times New Roman"/>
            <w:color w:val="2F4A8B"/>
            <w:sz w:val="25"/>
            <w:szCs w:val="25"/>
            <w:u w:val="single"/>
          </w:rPr>
          <w:t>Yang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xml:space="preserve">]. This is achieved by liposomal modification of the water-soluble vancomycin hydrochloride, and wrapping the product with nanosuspension of chitosan using </w:t>
      </w:r>
      <w:proofErr w:type="gramStart"/>
      <w:r w:rsidRPr="00AB7588">
        <w:rPr>
          <w:rFonts w:ascii="Times New Roman" w:eastAsia="Times New Roman" w:hAnsi="Times New Roman" w:cs="Times New Roman"/>
          <w:color w:val="000000"/>
          <w:sz w:val="25"/>
          <w:szCs w:val="25"/>
        </w:rPr>
        <w:t>a</w:t>
      </w:r>
      <w:proofErr w:type="gramEnd"/>
      <w:r w:rsidRPr="00AB7588">
        <w:rPr>
          <w:rFonts w:ascii="Times New Roman" w:eastAsia="Times New Roman" w:hAnsi="Times New Roman" w:cs="Times New Roman"/>
          <w:color w:val="000000"/>
          <w:sz w:val="25"/>
          <w:szCs w:val="25"/>
        </w:rPr>
        <w:t xml:space="preserve"> electrostatic deposition technique. In comparison with the native vancomycin, intravenous injection of the liposomal variant in experimental mice showed much higher AUC values while there was a reduction of the renal tissue distribution. Similarly, synthesis of lipophilic vancomycin carbonhydrate analogs that exhibit greater than a 250-fold binding affinity against VanA and VanB strains of VRE has the potential of minimizing renal injury considerably [</w:t>
      </w:r>
      <w:hyperlink r:id="rId159" w:anchor="bibr95-2042018816638223" w:history="1">
        <w:r w:rsidRPr="00AB7588">
          <w:rPr>
            <w:rFonts w:ascii="Times New Roman" w:eastAsia="Times New Roman" w:hAnsi="Times New Roman" w:cs="Times New Roman"/>
            <w:color w:val="2F4A8B"/>
            <w:sz w:val="25"/>
            <w:szCs w:val="25"/>
            <w:u w:val="single"/>
          </w:rPr>
          <w:t>Yarlagadda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Furthermore, to overcome the reduction in the affinity produced by a resistant pathogen (by alteration of vancomycin binding site on cell wall), structural modification of the antibiotic for dual binding to D-Ala-d-Ala and D-Ala-D-Lac terminals has been designed [</w:t>
      </w:r>
      <w:hyperlink r:id="rId160" w:anchor="bibr93-2042018816638223" w:history="1">
        <w:r w:rsidRPr="00AB7588">
          <w:rPr>
            <w:rFonts w:ascii="Times New Roman" w:eastAsia="Times New Roman" w:hAnsi="Times New Roman" w:cs="Times New Roman"/>
            <w:color w:val="2F4A8B"/>
            <w:sz w:val="25"/>
            <w:szCs w:val="25"/>
            <w:u w:val="single"/>
          </w:rPr>
          <w:t>Xie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 With the change in the ligand, there is a 600-fold increase in the binding strength relative to the native vancomycin compound.</w:t>
      </w:r>
    </w:p>
    <w:p w:rsidR="00AB7588" w:rsidRPr="00AB7588" w:rsidRDefault="00AB7588" w:rsidP="00AB7588">
      <w:pPr>
        <w:shd w:val="clear" w:color="auto" w:fill="FFFFFF"/>
        <w:spacing w:before="308" w:after="154" w:line="300" w:lineRule="atLeast"/>
        <w:outlineLvl w:val="2"/>
        <w:rPr>
          <w:rFonts w:ascii="Arial" w:eastAsia="Times New Roman" w:hAnsi="Arial" w:cs="Arial"/>
          <w:b/>
          <w:bCs/>
          <w:color w:val="724128"/>
          <w:sz w:val="25"/>
          <w:szCs w:val="25"/>
        </w:rPr>
      </w:pPr>
      <w:r w:rsidRPr="00AB7588">
        <w:rPr>
          <w:rFonts w:ascii="Arial" w:eastAsia="Times New Roman" w:hAnsi="Arial" w:cs="Arial"/>
          <w:b/>
          <w:bCs/>
          <w:color w:val="724128"/>
          <w:sz w:val="25"/>
          <w:szCs w:val="25"/>
        </w:rPr>
        <w:t>Dosing strategy</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Although drug monitoring may not be necessary in the majority of patients (with MIC &lt;1 mg/l for the offending organism), such practice may improve effectiveness, reduce adverse effects and optimize cost–benefit in populations otherwise at high risk. As previously indicated, effective treatment with vancomycin requires attainment of a long duration of serum value that is well above the MIC of the pathogen being treated. Therefore the dosing regimen that takes into consideration the ratio of 24 h AUC and MIC will be cost beneficial [</w:t>
      </w:r>
      <w:hyperlink r:id="rId161" w:anchor="bibr17-2042018816638223" w:history="1">
        <w:r w:rsidRPr="00AB7588">
          <w:rPr>
            <w:rFonts w:ascii="Times New Roman" w:eastAsia="Times New Roman" w:hAnsi="Times New Roman" w:cs="Times New Roman"/>
            <w:color w:val="2F4A8B"/>
            <w:sz w:val="25"/>
            <w:szCs w:val="25"/>
            <w:u w:val="single"/>
          </w:rPr>
          <w:t>Cole and Riordan, 2013</w:t>
        </w:r>
      </w:hyperlink>
      <w:r w:rsidRPr="00AB7588">
        <w:rPr>
          <w:rFonts w:ascii="Times New Roman" w:eastAsia="Times New Roman" w:hAnsi="Times New Roman" w:cs="Times New Roman"/>
          <w:color w:val="000000"/>
          <w:sz w:val="25"/>
          <w:szCs w:val="25"/>
        </w:rPr>
        <w:t>]. In addition, although validity studies are needed, data on children and young adults indicated vancomycin dosing based on body surface area is more likely than a weight-based regimen to achieve isometric 24 h AUC values [</w:t>
      </w:r>
      <w:hyperlink r:id="rId162" w:anchor="bibr10-2042018816638223" w:history="1">
        <w:r w:rsidRPr="00AB7588">
          <w:rPr>
            <w:rFonts w:ascii="Times New Roman" w:eastAsia="Times New Roman" w:hAnsi="Times New Roman" w:cs="Times New Roman"/>
            <w:color w:val="2F4A8B"/>
            <w:sz w:val="25"/>
            <w:szCs w:val="25"/>
            <w:u w:val="single"/>
          </w:rPr>
          <w:t>Camaione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2013</w:t>
        </w:r>
      </w:hyperlink>
      <w:r w:rsidRPr="00AB7588">
        <w:rPr>
          <w:rFonts w:ascii="Times New Roman" w:eastAsia="Times New Roman" w:hAnsi="Times New Roman" w:cs="Times New Roman"/>
          <w:color w:val="000000"/>
          <w:sz w:val="25"/>
          <w:szCs w:val="25"/>
        </w:rPr>
        <w:t>].</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Continuous instead of intermittent infusion of vancomycin has been suggested as a cost-effective means of achieving the pharmacodynamics goal (24 h AUC/MIC &gt; 400) [</w:t>
      </w:r>
      <w:hyperlink r:id="rId163" w:anchor="bibr73-2042018816638223" w:history="1">
        <w:r w:rsidRPr="00AB7588">
          <w:rPr>
            <w:rFonts w:ascii="Times New Roman" w:eastAsia="Times New Roman" w:hAnsi="Times New Roman" w:cs="Times New Roman"/>
            <w:color w:val="2F4A8B"/>
            <w:sz w:val="25"/>
            <w:szCs w:val="25"/>
            <w:u w:val="single"/>
          </w:rPr>
          <w:t>Revilla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2010</w:t>
        </w:r>
      </w:hyperlink>
      <w:r w:rsidRPr="00AB7588">
        <w:rPr>
          <w:rFonts w:ascii="Times New Roman" w:eastAsia="Times New Roman" w:hAnsi="Times New Roman" w:cs="Times New Roman"/>
          <w:color w:val="000000"/>
          <w:sz w:val="25"/>
          <w:szCs w:val="25"/>
        </w:rPr>
        <w:t>; </w:t>
      </w:r>
      <w:hyperlink r:id="rId164" w:anchor="bibr92-2042018816638223" w:history="1">
        <w:r w:rsidRPr="00AB7588">
          <w:rPr>
            <w:rFonts w:ascii="Times New Roman" w:eastAsia="Times New Roman" w:hAnsi="Times New Roman" w:cs="Times New Roman"/>
            <w:color w:val="2F4A8B"/>
            <w:sz w:val="25"/>
            <w:szCs w:val="25"/>
            <w:u w:val="single"/>
          </w:rPr>
          <w:t>Wysocki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2001</w:t>
        </w:r>
      </w:hyperlink>
      <w:r w:rsidRPr="00AB7588">
        <w:rPr>
          <w:rFonts w:ascii="Times New Roman" w:eastAsia="Times New Roman" w:hAnsi="Times New Roman" w:cs="Times New Roman"/>
          <w:color w:val="000000"/>
          <w:sz w:val="25"/>
          <w:szCs w:val="25"/>
        </w:rPr>
        <w:t>]. It requires less frequent blood sampling while achieving rapid onset of the desired plasma concentration at a steady state [</w:t>
      </w:r>
      <w:hyperlink r:id="rId165" w:anchor="bibr73-2042018816638223" w:history="1">
        <w:r w:rsidRPr="00AB7588">
          <w:rPr>
            <w:rFonts w:ascii="Times New Roman" w:eastAsia="Times New Roman" w:hAnsi="Times New Roman" w:cs="Times New Roman"/>
            <w:color w:val="2F4A8B"/>
            <w:sz w:val="25"/>
            <w:szCs w:val="25"/>
            <w:u w:val="single"/>
          </w:rPr>
          <w:t>Revilla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2010</w:t>
        </w:r>
      </w:hyperlink>
      <w:r w:rsidRPr="00AB7588">
        <w:rPr>
          <w:rFonts w:ascii="Times New Roman" w:eastAsia="Times New Roman" w:hAnsi="Times New Roman" w:cs="Times New Roman"/>
          <w:color w:val="000000"/>
          <w:sz w:val="25"/>
          <w:szCs w:val="25"/>
        </w:rPr>
        <w:t>; </w:t>
      </w:r>
      <w:hyperlink r:id="rId166" w:anchor="bibr92-2042018816638223" w:history="1">
        <w:r w:rsidRPr="00AB7588">
          <w:rPr>
            <w:rFonts w:ascii="Times New Roman" w:eastAsia="Times New Roman" w:hAnsi="Times New Roman" w:cs="Times New Roman"/>
            <w:color w:val="2F4A8B"/>
            <w:sz w:val="25"/>
            <w:szCs w:val="25"/>
            <w:u w:val="single"/>
          </w:rPr>
          <w:t>Wysocki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2001</w:t>
        </w:r>
      </w:hyperlink>
      <w:r w:rsidRPr="00AB7588">
        <w:rPr>
          <w:rFonts w:ascii="Times New Roman" w:eastAsia="Times New Roman" w:hAnsi="Times New Roman" w:cs="Times New Roman"/>
          <w:color w:val="000000"/>
          <w:sz w:val="25"/>
          <w:szCs w:val="25"/>
        </w:rPr>
        <w:t>; </w:t>
      </w:r>
      <w:hyperlink r:id="rId167" w:anchor="bibr39-2042018816638223" w:history="1">
        <w:r w:rsidRPr="00AB7588">
          <w:rPr>
            <w:rFonts w:ascii="Times New Roman" w:eastAsia="Times New Roman" w:hAnsi="Times New Roman" w:cs="Times New Roman"/>
            <w:color w:val="2F4A8B"/>
            <w:sz w:val="25"/>
            <w:szCs w:val="25"/>
            <w:u w:val="single"/>
          </w:rPr>
          <w:t>Hong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In addition it is associated with a slower onset of AKI but there was no difference in either efficacy or the rate of renal toxicity [</w:t>
      </w:r>
      <w:hyperlink r:id="rId168" w:anchor="bibr35-2042018816638223" w:history="1">
        <w:r w:rsidRPr="00AB7588">
          <w:rPr>
            <w:rFonts w:ascii="Times New Roman" w:eastAsia="Times New Roman" w:hAnsi="Times New Roman" w:cs="Times New Roman"/>
            <w:color w:val="2F4A8B"/>
            <w:sz w:val="25"/>
            <w:szCs w:val="25"/>
            <w:u w:val="single"/>
          </w:rPr>
          <w:t>Hanrahan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169" w:anchor="bibr39-2042018816638223" w:history="1">
        <w:r w:rsidRPr="00AB7588">
          <w:rPr>
            <w:rFonts w:ascii="Times New Roman" w:eastAsia="Times New Roman" w:hAnsi="Times New Roman" w:cs="Times New Roman"/>
            <w:color w:val="2F4A8B"/>
            <w:sz w:val="25"/>
            <w:szCs w:val="25"/>
            <w:u w:val="single"/>
          </w:rPr>
          <w:t>Hong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w:t>
      </w:r>
      <w:hyperlink r:id="rId170" w:anchor="bibr26-2042018816638223" w:history="1">
        <w:r w:rsidRPr="00AB7588">
          <w:rPr>
            <w:rFonts w:ascii="Times New Roman" w:eastAsia="Times New Roman" w:hAnsi="Times New Roman" w:cs="Times New Roman"/>
            <w:color w:val="2F4A8B"/>
            <w:sz w:val="25"/>
            <w:szCs w:val="25"/>
            <w:u w:val="single"/>
          </w:rPr>
          <w:t>DiMondi and Rafferty, 2013</w:t>
        </w:r>
      </w:hyperlink>
      <w:r w:rsidRPr="00AB7588">
        <w:rPr>
          <w:rFonts w:ascii="Times New Roman" w:eastAsia="Times New Roman" w:hAnsi="Times New Roman" w:cs="Times New Roman"/>
          <w:color w:val="000000"/>
          <w:sz w:val="25"/>
          <w:szCs w:val="25"/>
        </w:rPr>
        <w:t>]. The argument that goes against the use of continuous infusion is the relative long half life of vancomycin and the concentration-independent therapeutic effectiveness. It has been postulated that the poor selection of patients who will benefit optimally from continuous infusion may account for the difficulty in demonstrating its advantage over the intermittent mode of administration [</w:t>
      </w:r>
      <w:hyperlink r:id="rId171" w:anchor="bibr86-2042018816638223" w:history="1">
        <w:r w:rsidRPr="00AB7588">
          <w:rPr>
            <w:rFonts w:ascii="Times New Roman" w:eastAsia="Times New Roman" w:hAnsi="Times New Roman" w:cs="Times New Roman"/>
            <w:color w:val="2F4A8B"/>
            <w:sz w:val="25"/>
            <w:szCs w:val="25"/>
            <w:u w:val="single"/>
          </w:rPr>
          <w:t>Vandecasteele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2011</w:t>
        </w:r>
      </w:hyperlink>
      <w:r w:rsidRPr="00AB7588">
        <w:rPr>
          <w:rFonts w:ascii="Times New Roman" w:eastAsia="Times New Roman" w:hAnsi="Times New Roman" w:cs="Times New Roman"/>
          <w:color w:val="000000"/>
          <w:sz w:val="25"/>
          <w:szCs w:val="25"/>
        </w:rPr>
        <w:t>]. Prospective randomized trials in critically ill patients that controls for the confounding effects of the degree of pathogen resistance (MIC) may clarify the definitive role of continuous infusion of vancomycin.</w:t>
      </w:r>
    </w:p>
    <w:p w:rsidR="00AB7588" w:rsidRPr="00AB7588" w:rsidRDefault="00AB7588" w:rsidP="00AB7588">
      <w:pPr>
        <w:shd w:val="clear" w:color="auto" w:fill="FFFFFF"/>
        <w:spacing w:after="0" w:line="240" w:lineRule="auto"/>
        <w:jc w:val="right"/>
        <w:rPr>
          <w:rFonts w:ascii="Arial" w:eastAsia="Times New Roman" w:hAnsi="Arial" w:cs="Arial"/>
          <w:color w:val="000000"/>
          <w:sz w:val="25"/>
          <w:szCs w:val="25"/>
        </w:rPr>
      </w:pPr>
      <w:hyperlink r:id="rId172" w:tooltip="Go to other sections in this page" w:history="1">
        <w:r w:rsidRPr="00AB7588">
          <w:rPr>
            <w:rFonts w:ascii="Arial" w:eastAsia="Times New Roman" w:hAnsi="Arial" w:cs="Arial"/>
            <w:color w:val="2F4A8B"/>
            <w:sz w:val="25"/>
            <w:szCs w:val="25"/>
            <w:u w:val="single"/>
          </w:rPr>
          <w:t>Go to:</w:t>
        </w:r>
      </w:hyperlink>
    </w:p>
    <w:p w:rsidR="00AB7588" w:rsidRPr="00AB7588" w:rsidRDefault="00AB7588" w:rsidP="00AB7588">
      <w:pPr>
        <w:pBdr>
          <w:bottom w:val="single" w:sz="6" w:space="0" w:color="97B0C8"/>
        </w:pBdr>
        <w:shd w:val="clear" w:color="auto" w:fill="FFFFFF"/>
        <w:spacing w:before="270" w:after="0" w:line="267" w:lineRule="atLeast"/>
        <w:outlineLvl w:val="1"/>
        <w:rPr>
          <w:rFonts w:ascii="Arial" w:eastAsia="Times New Roman" w:hAnsi="Arial" w:cs="Arial"/>
          <w:b/>
          <w:bCs/>
          <w:color w:val="985735"/>
          <w:sz w:val="28"/>
          <w:szCs w:val="28"/>
        </w:rPr>
      </w:pPr>
      <w:r w:rsidRPr="00AB7588">
        <w:rPr>
          <w:rFonts w:ascii="Arial" w:eastAsia="Times New Roman" w:hAnsi="Arial" w:cs="Arial"/>
          <w:b/>
          <w:bCs/>
          <w:color w:val="985735"/>
          <w:sz w:val="28"/>
          <w:szCs w:val="28"/>
        </w:rPr>
        <w:t>Therapeutic strategy for vancomycin-induced AKI</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Given the increasing burden of vancomycin-induced AKI, particularly in patients with complex life-threatening clinical conditions, the preventive strategies discussed above remain the ultimate goal of minimizing mortality rate in this population [</w:t>
      </w:r>
      <w:hyperlink r:id="rId173" w:anchor="bibr43-2042018816638223" w:history="1">
        <w:r w:rsidRPr="00AB7588">
          <w:rPr>
            <w:rFonts w:ascii="Times New Roman" w:eastAsia="Times New Roman" w:hAnsi="Times New Roman" w:cs="Times New Roman"/>
            <w:color w:val="2F4A8B"/>
            <w:sz w:val="25"/>
            <w:szCs w:val="25"/>
            <w:u w:val="single"/>
          </w:rPr>
          <w:t>Hsu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2016</w:t>
        </w:r>
      </w:hyperlink>
      <w:r w:rsidRPr="00AB7588">
        <w:rPr>
          <w:rFonts w:ascii="Times New Roman" w:eastAsia="Times New Roman" w:hAnsi="Times New Roman" w:cs="Times New Roman"/>
          <w:color w:val="000000"/>
          <w:sz w:val="25"/>
          <w:szCs w:val="25"/>
        </w:rPr>
        <w:t>]. Nevertheless, despite the inherent challenges encountered in the past years, there is need for a continued effort towards achieving optimal therapeutic interventions [</w:t>
      </w:r>
      <w:hyperlink r:id="rId174" w:anchor="bibr64-2042018816638223" w:history="1">
        <w:r w:rsidRPr="00AB7588">
          <w:rPr>
            <w:rFonts w:ascii="Times New Roman" w:eastAsia="Times New Roman" w:hAnsi="Times New Roman" w:cs="Times New Roman"/>
            <w:color w:val="2F4A8B"/>
            <w:sz w:val="25"/>
            <w:szCs w:val="25"/>
            <w:u w:val="single"/>
          </w:rPr>
          <w:t>Okusa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2016</w:t>
        </w:r>
      </w:hyperlink>
      <w:r w:rsidRPr="00AB7588">
        <w:rPr>
          <w:rFonts w:ascii="Times New Roman" w:eastAsia="Times New Roman" w:hAnsi="Times New Roman" w:cs="Times New Roman"/>
          <w:color w:val="000000"/>
          <w:sz w:val="25"/>
          <w:szCs w:val="25"/>
        </w:rPr>
        <w:t>]. In this regard, the model of AKI that is most susceptible to pharmacological modulation is that due to pro-oxidative inflammation as in contrast-induced nephropathy [</w:t>
      </w:r>
      <w:hyperlink r:id="rId175" w:anchor="bibr45-2042018816638223" w:history="1">
        <w:r w:rsidRPr="00AB7588">
          <w:rPr>
            <w:rFonts w:ascii="Times New Roman" w:eastAsia="Times New Roman" w:hAnsi="Times New Roman" w:cs="Times New Roman"/>
            <w:color w:val="2F4A8B"/>
            <w:sz w:val="25"/>
            <w:szCs w:val="25"/>
            <w:u w:val="single"/>
          </w:rPr>
          <w:t>Huang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2016</w:t>
        </w:r>
      </w:hyperlink>
      <w:r w:rsidRPr="00AB7588">
        <w:rPr>
          <w:rFonts w:ascii="Times New Roman" w:eastAsia="Times New Roman" w:hAnsi="Times New Roman" w:cs="Times New Roman"/>
          <w:color w:val="000000"/>
          <w:sz w:val="25"/>
          <w:szCs w:val="25"/>
        </w:rPr>
        <w:t>]. In view of a similar pathophysiology, in the face of vancomycin cytotoxicity, renal perfusion must be maintained by ensuring there is adequate intravenous hydration. This measure will potentially reverse renal vasoconstriction as induced by free oxygen radicals while reducing vancomycin toxic exposure to the proximal tubular cells by optimizing renal clearance.</w:t>
      </w:r>
    </w:p>
    <w:p w:rsidR="00AB7588" w:rsidRPr="00AB7588" w:rsidRDefault="00AB7588" w:rsidP="00AB7588">
      <w:pPr>
        <w:shd w:val="clear" w:color="auto" w:fill="FFFFFF"/>
        <w:spacing w:before="308" w:after="154" w:line="300" w:lineRule="atLeast"/>
        <w:outlineLvl w:val="2"/>
        <w:rPr>
          <w:rFonts w:ascii="Arial" w:eastAsia="Times New Roman" w:hAnsi="Arial" w:cs="Arial"/>
          <w:b/>
          <w:bCs/>
          <w:color w:val="724128"/>
          <w:sz w:val="25"/>
          <w:szCs w:val="25"/>
        </w:rPr>
      </w:pPr>
      <w:r w:rsidRPr="00AB7588">
        <w:rPr>
          <w:rFonts w:ascii="Arial" w:eastAsia="Times New Roman" w:hAnsi="Arial" w:cs="Arial"/>
          <w:b/>
          <w:bCs/>
          <w:color w:val="724128"/>
          <w:sz w:val="25"/>
          <w:szCs w:val="25"/>
        </w:rPr>
        <w:t>Antioxidative therapy</w:t>
      </w:r>
    </w:p>
    <w:p w:rsidR="00AB7588" w:rsidRPr="00AB7588" w:rsidRDefault="00AB7588" w:rsidP="00AB7588">
      <w:pPr>
        <w:shd w:val="clear" w:color="auto" w:fill="FFFFFF"/>
        <w:spacing w:before="166" w:after="166" w:line="240" w:lineRule="auto"/>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Antioxidative biological agents that have been successfully used in animal studies are hexamethylenediamine-conjugated superoxide dismutase, erdosteine, vitamin E, vitamin C, N-acetylcysteine, caffeic acid phenethyl ester, and recombinant human erythropoietin [</w:t>
      </w:r>
      <w:hyperlink r:id="rId176" w:anchor="bibr28-2042018816638223" w:history="1">
        <w:r w:rsidRPr="00AB7588">
          <w:rPr>
            <w:rFonts w:ascii="Times New Roman" w:eastAsia="Times New Roman" w:hAnsi="Times New Roman" w:cs="Times New Roman"/>
            <w:color w:val="2F4A8B"/>
            <w:sz w:val="25"/>
            <w:szCs w:val="25"/>
            <w:u w:val="single"/>
          </w:rPr>
          <w:t>Elyasi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2012</w:t>
        </w:r>
      </w:hyperlink>
      <w:r w:rsidRPr="00AB7588">
        <w:rPr>
          <w:rFonts w:ascii="Times New Roman" w:eastAsia="Times New Roman" w:hAnsi="Times New Roman" w:cs="Times New Roman"/>
          <w:color w:val="000000"/>
          <w:sz w:val="25"/>
          <w:szCs w:val="25"/>
        </w:rPr>
        <w:t>; </w:t>
      </w:r>
      <w:hyperlink r:id="rId177" w:anchor="bibr63-2042018816638223" w:history="1">
        <w:r w:rsidRPr="00AB7588">
          <w:rPr>
            <w:rFonts w:ascii="Times New Roman" w:eastAsia="Times New Roman" w:hAnsi="Times New Roman" w:cs="Times New Roman"/>
            <w:color w:val="2F4A8B"/>
            <w:sz w:val="25"/>
            <w:szCs w:val="25"/>
            <w:u w:val="single"/>
          </w:rPr>
          <w:t>Oktem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2005</w:t>
        </w:r>
      </w:hyperlink>
      <w:r w:rsidRPr="00AB7588">
        <w:rPr>
          <w:rFonts w:ascii="Times New Roman" w:eastAsia="Times New Roman" w:hAnsi="Times New Roman" w:cs="Times New Roman"/>
          <w:color w:val="000000"/>
          <w:sz w:val="25"/>
          <w:szCs w:val="25"/>
        </w:rPr>
        <w:t>; </w:t>
      </w:r>
      <w:hyperlink r:id="rId178" w:anchor="bibr61-2042018816638223" w:history="1">
        <w:r w:rsidRPr="00AB7588">
          <w:rPr>
            <w:rFonts w:ascii="Times New Roman" w:eastAsia="Times New Roman" w:hAnsi="Times New Roman" w:cs="Times New Roman"/>
            <w:color w:val="2F4A8B"/>
            <w:sz w:val="25"/>
            <w:szCs w:val="25"/>
            <w:u w:val="single"/>
          </w:rPr>
          <w:t>Nishino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2003</w:t>
        </w:r>
      </w:hyperlink>
      <w:r w:rsidRPr="00AB7588">
        <w:rPr>
          <w:rFonts w:ascii="Times New Roman" w:eastAsia="Times New Roman" w:hAnsi="Times New Roman" w:cs="Times New Roman"/>
          <w:color w:val="000000"/>
          <w:sz w:val="25"/>
          <w:szCs w:val="25"/>
        </w:rPr>
        <w:t>; </w:t>
      </w:r>
      <w:hyperlink r:id="rId179" w:anchor="bibr14-2042018816638223" w:history="1">
        <w:r w:rsidRPr="00AB7588">
          <w:rPr>
            <w:rFonts w:ascii="Times New Roman" w:eastAsia="Times New Roman" w:hAnsi="Times New Roman" w:cs="Times New Roman"/>
            <w:color w:val="2F4A8B"/>
            <w:sz w:val="25"/>
            <w:szCs w:val="25"/>
            <w:u w:val="single"/>
          </w:rPr>
          <w:t>Cetin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2007</w:t>
        </w:r>
      </w:hyperlink>
      <w:r w:rsidRPr="00AB7588">
        <w:rPr>
          <w:rFonts w:ascii="Times New Roman" w:eastAsia="Times New Roman" w:hAnsi="Times New Roman" w:cs="Times New Roman"/>
          <w:color w:val="000000"/>
          <w:sz w:val="25"/>
          <w:szCs w:val="25"/>
        </w:rPr>
        <w:t>; </w:t>
      </w:r>
      <w:hyperlink r:id="rId180" w:anchor="bibr62-2042018816638223" w:history="1">
        <w:r w:rsidRPr="00AB7588">
          <w:rPr>
            <w:rFonts w:ascii="Times New Roman" w:eastAsia="Times New Roman" w:hAnsi="Times New Roman" w:cs="Times New Roman"/>
            <w:color w:val="2F4A8B"/>
            <w:sz w:val="25"/>
            <w:szCs w:val="25"/>
            <w:u w:val="single"/>
          </w:rPr>
          <w:t>Ocak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2007</w:t>
        </w:r>
      </w:hyperlink>
      <w:r w:rsidRPr="00AB7588">
        <w:rPr>
          <w:rFonts w:ascii="Times New Roman" w:eastAsia="Times New Roman" w:hAnsi="Times New Roman" w:cs="Times New Roman"/>
          <w:color w:val="000000"/>
          <w:sz w:val="25"/>
          <w:szCs w:val="25"/>
        </w:rPr>
        <w:t>]. However, in at least one study, there was a benefit from the use of iron-chelating antioxidant, 2,3-dihydroxybenzoic acid but there was no protection from 4-hydroxyl-2,2,6,6-tetramethylpiperidine-1-oxyl (Tempol; Sigma-Aldrich Co. LLC; 3050 Spruce St., St. Louis MO 63178), a superoxide dismutase mimetic compound [</w:t>
      </w:r>
      <w:hyperlink r:id="rId181" w:anchor="bibr57-2042018816638223" w:history="1">
        <w:r w:rsidRPr="00AB7588">
          <w:rPr>
            <w:rFonts w:ascii="Times New Roman" w:eastAsia="Times New Roman" w:hAnsi="Times New Roman" w:cs="Times New Roman"/>
            <w:color w:val="2F4A8B"/>
            <w:sz w:val="25"/>
            <w:szCs w:val="25"/>
            <w:u w:val="single"/>
          </w:rPr>
          <w:t>Naghibi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2007</w:t>
        </w:r>
      </w:hyperlink>
      <w:r w:rsidRPr="00AB7588">
        <w:rPr>
          <w:rFonts w:ascii="Times New Roman" w:eastAsia="Times New Roman" w:hAnsi="Times New Roman" w:cs="Times New Roman"/>
          <w:color w:val="000000"/>
          <w:sz w:val="25"/>
          <w:szCs w:val="25"/>
        </w:rPr>
        <w:t>]. These therapeutic agents enhance the survival of renal tubular cells by reducing DNA fragmentation, apoptosis and necrosis; and in certain instances by the modulation of autophagy [</w:t>
      </w:r>
      <w:hyperlink r:id="rId182" w:anchor="bibr45-2042018816638223" w:history="1">
        <w:r w:rsidRPr="00AB7588">
          <w:rPr>
            <w:rFonts w:ascii="Times New Roman" w:eastAsia="Times New Roman" w:hAnsi="Times New Roman" w:cs="Times New Roman"/>
            <w:color w:val="2F4A8B"/>
            <w:sz w:val="25"/>
            <w:szCs w:val="25"/>
            <w:u w:val="single"/>
          </w:rPr>
          <w:t>Huang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2016</w:t>
        </w:r>
      </w:hyperlink>
      <w:r w:rsidRPr="00AB7588">
        <w:rPr>
          <w:rFonts w:ascii="Times New Roman" w:eastAsia="Times New Roman" w:hAnsi="Times New Roman" w:cs="Times New Roman"/>
          <w:color w:val="000000"/>
          <w:sz w:val="25"/>
          <w:szCs w:val="25"/>
        </w:rPr>
        <w:t>]. Nevertheless, in contrast to the effect of cilastatin previously discussed, it is unclear if antioxidative strategy would place a limitation on the bactericidal activity of vancomycin [</w:t>
      </w:r>
      <w:hyperlink r:id="rId183" w:anchor="bibr46-2042018816638223" w:history="1">
        <w:r w:rsidRPr="00AB7588">
          <w:rPr>
            <w:rFonts w:ascii="Times New Roman" w:eastAsia="Times New Roman" w:hAnsi="Times New Roman" w:cs="Times New Roman"/>
            <w:color w:val="2F4A8B"/>
            <w:sz w:val="25"/>
            <w:szCs w:val="25"/>
            <w:u w:val="single"/>
          </w:rPr>
          <w:t>Humanes </w:t>
        </w:r>
        <w:r w:rsidRPr="00AB7588">
          <w:rPr>
            <w:rFonts w:ascii="Times New Roman" w:eastAsia="Times New Roman" w:hAnsi="Times New Roman" w:cs="Times New Roman"/>
            <w:i/>
            <w:iCs/>
            <w:color w:val="2F4A8B"/>
            <w:sz w:val="25"/>
            <w:szCs w:val="25"/>
            <w:u w:val="single"/>
          </w:rPr>
          <w:t>et al</w:t>
        </w:r>
        <w:r w:rsidRPr="00AB7588">
          <w:rPr>
            <w:rFonts w:ascii="Times New Roman" w:eastAsia="Times New Roman" w:hAnsi="Times New Roman" w:cs="Times New Roman"/>
            <w:color w:val="2F4A8B"/>
            <w:sz w:val="25"/>
            <w:szCs w:val="25"/>
            <w:u w:val="single"/>
          </w:rPr>
          <w:t>. 2015</w:t>
        </w:r>
      </w:hyperlink>
      <w:r w:rsidRPr="00AB7588">
        <w:rPr>
          <w:rFonts w:ascii="Times New Roman" w:eastAsia="Times New Roman" w:hAnsi="Times New Roman" w:cs="Times New Roman"/>
          <w:color w:val="000000"/>
          <w:sz w:val="25"/>
          <w:szCs w:val="25"/>
        </w:rPr>
        <w:t>]. Clinical trials are therefore needed to validate the renal protective advantage of these agents in the human population.</w:t>
      </w:r>
    </w:p>
    <w:p w:rsidR="00AB7588" w:rsidRPr="00AB7588" w:rsidRDefault="00AB7588" w:rsidP="00AB7588">
      <w:pPr>
        <w:shd w:val="clear" w:color="auto" w:fill="FFFFFF"/>
        <w:spacing w:before="166" w:after="166" w:line="240" w:lineRule="auto"/>
        <w:rPr>
          <w:rFonts w:ascii="Arial" w:eastAsia="Times New Roman" w:hAnsi="Arial" w:cs="Arial"/>
          <w:color w:val="000000"/>
          <w:sz w:val="25"/>
          <w:szCs w:val="25"/>
        </w:rPr>
      </w:pPr>
      <w:r w:rsidRPr="00AB7588">
        <w:rPr>
          <w:rFonts w:ascii="Times New Roman" w:eastAsia="Times New Roman" w:hAnsi="Times New Roman" w:cs="Times New Roman"/>
          <w:color w:val="000000"/>
          <w:sz w:val="25"/>
          <w:szCs w:val="25"/>
        </w:rPr>
        <w:t>In summary, data available on vancomycin-induced renal toxicity showed limitation in proving a causal effect association because of the inherent methodology flaws that include lack of temporal relationship, retrospective design, inadequate study power (limited by sample size) and strong interference by confounding variables. However, there seems to be a trend in support of a dose–response relationship: higher vancomycin doses in several clinical settings correlate with renal toxicity. In addition, most reported studies are supportive of synergistic effects of vancomycin with other nephrotoxic agents and in clinical conditions that compromise glomerular filtration. There is a need for standardization of vancomycin-induced renal injury to facilitate early diagnosis, prompt intervention and for the sake of comparative analysis of research studies. In this regard, upcoming novel diagnostic biomarkers of AKI may be of potential application.</w:t>
      </w:r>
      <w:r w:rsidRPr="00AB7588">
        <w:rPr>
          <w:rFonts w:ascii="Arial" w:eastAsia="Times New Roman" w:hAnsi="Arial" w:cs="Arial"/>
          <w:color w:val="000000"/>
          <w:sz w:val="25"/>
          <w:szCs w:val="25"/>
        </w:rPr>
        <w:t xml:space="preserve"> </w:t>
      </w:r>
    </w:p>
    <w:p w:rsidR="00AB7588" w:rsidRPr="00AB7588" w:rsidRDefault="00AB7588" w:rsidP="00AB7588">
      <w:pPr>
        <w:pBdr>
          <w:bottom w:val="single" w:sz="6" w:space="0" w:color="97B0C8"/>
        </w:pBdr>
        <w:shd w:val="clear" w:color="auto" w:fill="FFFFFF"/>
        <w:spacing w:before="270" w:after="0" w:line="267" w:lineRule="atLeast"/>
        <w:outlineLvl w:val="1"/>
        <w:rPr>
          <w:rFonts w:ascii="Arial" w:eastAsia="Times New Roman" w:hAnsi="Arial" w:cs="Arial"/>
          <w:b/>
          <w:bCs/>
          <w:color w:val="985735"/>
          <w:sz w:val="28"/>
          <w:szCs w:val="28"/>
        </w:rPr>
      </w:pPr>
      <w:r w:rsidRPr="00AB7588">
        <w:rPr>
          <w:rFonts w:ascii="Arial" w:eastAsia="Times New Roman" w:hAnsi="Arial" w:cs="Arial"/>
          <w:b/>
          <w:bCs/>
          <w:color w:val="985735"/>
          <w:sz w:val="28"/>
          <w:szCs w:val="28"/>
        </w:rPr>
        <w:t>References</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Abdel Hadi O., Al Omar S., Nazer L., Mubarak S., Le J. (2015) Vancomycin pharmacokinetics and predicted dosage requirements in pediatric cancer patients. </w:t>
      </w:r>
      <w:r w:rsidRPr="00AB7588">
        <w:rPr>
          <w:rFonts w:ascii="Times New Roman" w:eastAsia="Times New Roman" w:hAnsi="Times New Roman" w:cs="Times New Roman"/>
          <w:i/>
          <w:iCs/>
          <w:color w:val="000000"/>
          <w:sz w:val="25"/>
          <w:szCs w:val="25"/>
        </w:rPr>
        <w:t>J Oncol Pharm Pract</w:t>
      </w:r>
      <w:r w:rsidRPr="00AB7588">
        <w:rPr>
          <w:rFonts w:ascii="Times New Roman" w:eastAsia="Times New Roman" w:hAnsi="Times New Roman" w:cs="Times New Roman"/>
          <w:color w:val="000000"/>
          <w:sz w:val="25"/>
          <w:szCs w:val="25"/>
        </w:rPr>
        <w:t xml:space="preserve"> pii. </w:t>
      </w:r>
      <w:proofErr w:type="gramStart"/>
      <w:r w:rsidRPr="00AB7588">
        <w:rPr>
          <w:rFonts w:ascii="Times New Roman" w:eastAsia="Times New Roman" w:hAnsi="Times New Roman" w:cs="Times New Roman"/>
          <w:color w:val="000000"/>
          <w:sz w:val="25"/>
          <w:szCs w:val="25"/>
        </w:rPr>
        <w:t>doi</w:t>
      </w:r>
      <w:proofErr w:type="gramEnd"/>
      <w:r w:rsidRPr="00AB7588">
        <w:rPr>
          <w:rFonts w:ascii="Times New Roman" w:eastAsia="Times New Roman" w:hAnsi="Times New Roman" w:cs="Times New Roman"/>
          <w:color w:val="000000"/>
          <w:sz w:val="25"/>
          <w:szCs w:val="25"/>
        </w:rPr>
        <w:t xml:space="preserve">: 10.1177/1078155215591386.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Arimura Y., Yano T., Hirano M., Sakamoto Y., Egashira N., Oishi R. (2012) Mitochondrial superoxide production contributes to vancomycin-induced renal tubular cell apoptosis. </w:t>
      </w:r>
      <w:r w:rsidRPr="00AB7588">
        <w:rPr>
          <w:rFonts w:ascii="Times New Roman" w:eastAsia="Times New Roman" w:hAnsi="Times New Roman" w:cs="Times New Roman"/>
          <w:i/>
          <w:iCs/>
          <w:color w:val="000000"/>
          <w:sz w:val="25"/>
          <w:szCs w:val="25"/>
        </w:rPr>
        <w:t>Free Radic Biol Med</w:t>
      </w:r>
      <w:r w:rsidRPr="00AB7588">
        <w:rPr>
          <w:rFonts w:ascii="Times New Roman" w:eastAsia="Times New Roman" w:hAnsi="Times New Roman" w:cs="Times New Roman"/>
          <w:color w:val="000000"/>
          <w:sz w:val="25"/>
          <w:szCs w:val="25"/>
        </w:rPr>
        <w:t xml:space="preserve"> 52: 1865–1873.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Bagshaw S., George C., Dinu I., Bellomo R. (2008) A multi-centre evaluation of the RIFLE criteria for early acute kidney injury in critically ill patients. </w:t>
      </w:r>
      <w:r w:rsidRPr="00AB7588">
        <w:rPr>
          <w:rFonts w:ascii="Times New Roman" w:eastAsia="Times New Roman" w:hAnsi="Times New Roman" w:cs="Times New Roman"/>
          <w:i/>
          <w:iCs/>
          <w:color w:val="000000"/>
          <w:sz w:val="25"/>
          <w:szCs w:val="25"/>
        </w:rPr>
        <w:t>Nephrol Dial Transplant</w:t>
      </w:r>
      <w:r w:rsidRPr="00AB7588">
        <w:rPr>
          <w:rFonts w:ascii="Times New Roman" w:eastAsia="Times New Roman" w:hAnsi="Times New Roman" w:cs="Times New Roman"/>
          <w:color w:val="000000"/>
          <w:sz w:val="25"/>
          <w:szCs w:val="25"/>
        </w:rPr>
        <w:t xml:space="preserve"> 23: 1203–1210.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Bailie G., Neal D. (1988) Vancomycin ototoxicity and nephrotoxicity. A review. </w:t>
      </w:r>
      <w:r w:rsidRPr="00AB7588">
        <w:rPr>
          <w:rFonts w:ascii="Times New Roman" w:eastAsia="Times New Roman" w:hAnsi="Times New Roman" w:cs="Times New Roman"/>
          <w:i/>
          <w:iCs/>
          <w:color w:val="000000"/>
          <w:sz w:val="25"/>
          <w:szCs w:val="25"/>
        </w:rPr>
        <w:t>Med Toxicol Adverse Drug Exp</w:t>
      </w:r>
      <w:r w:rsidRPr="00AB7588">
        <w:rPr>
          <w:rFonts w:ascii="Times New Roman" w:eastAsia="Times New Roman" w:hAnsi="Times New Roman" w:cs="Times New Roman"/>
          <w:color w:val="000000"/>
          <w:sz w:val="25"/>
          <w:szCs w:val="25"/>
        </w:rPr>
        <w:t> 3</w:t>
      </w:r>
      <w:r>
        <w:rPr>
          <w:rFonts w:ascii="Times New Roman" w:eastAsia="Times New Roman" w:hAnsi="Times New Roman" w:cs="Times New Roman"/>
          <w:color w:val="000000"/>
          <w:sz w:val="25"/>
          <w:szCs w:val="25"/>
        </w:rPr>
        <w:t xml:space="preserve">: 376–386.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Barraclough K., Harris M., Montessori V., Levin A. (2007) </w:t>
      </w:r>
      <w:proofErr w:type="gramStart"/>
      <w:r w:rsidRPr="00AB7588">
        <w:rPr>
          <w:rFonts w:ascii="Times New Roman" w:eastAsia="Times New Roman" w:hAnsi="Times New Roman" w:cs="Times New Roman"/>
          <w:color w:val="000000"/>
          <w:sz w:val="25"/>
          <w:szCs w:val="25"/>
        </w:rPr>
        <w:t>An</w:t>
      </w:r>
      <w:proofErr w:type="gramEnd"/>
      <w:r w:rsidRPr="00AB7588">
        <w:rPr>
          <w:rFonts w:ascii="Times New Roman" w:eastAsia="Times New Roman" w:hAnsi="Times New Roman" w:cs="Times New Roman"/>
          <w:color w:val="000000"/>
          <w:sz w:val="25"/>
          <w:szCs w:val="25"/>
        </w:rPr>
        <w:t xml:space="preserve"> unusual case of acute kidney injury due to vancomycin lessons learnt from reliance on eGFR. </w:t>
      </w:r>
      <w:r w:rsidRPr="00AB7588">
        <w:rPr>
          <w:rFonts w:ascii="Times New Roman" w:eastAsia="Times New Roman" w:hAnsi="Times New Roman" w:cs="Times New Roman"/>
          <w:i/>
          <w:iCs/>
          <w:color w:val="000000"/>
          <w:sz w:val="25"/>
          <w:szCs w:val="25"/>
        </w:rPr>
        <w:t>Nephrol Dial Transplant</w:t>
      </w:r>
      <w:r w:rsidRPr="00AB7588">
        <w:rPr>
          <w:rFonts w:ascii="Times New Roman" w:eastAsia="Times New Roman" w:hAnsi="Times New Roman" w:cs="Times New Roman"/>
          <w:color w:val="000000"/>
          <w:sz w:val="25"/>
          <w:szCs w:val="25"/>
        </w:rPr>
        <w:t xml:space="preserve"> 22: 2391–2394.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Blumenthal K., Patil S., Long A. (2012) </w:t>
      </w:r>
      <w:proofErr w:type="gramStart"/>
      <w:r w:rsidRPr="00AB7588">
        <w:rPr>
          <w:rFonts w:ascii="Times New Roman" w:eastAsia="Times New Roman" w:hAnsi="Times New Roman" w:cs="Times New Roman"/>
          <w:color w:val="000000"/>
          <w:sz w:val="25"/>
          <w:szCs w:val="25"/>
        </w:rPr>
        <w:t>The</w:t>
      </w:r>
      <w:proofErr w:type="gramEnd"/>
      <w:r w:rsidRPr="00AB7588">
        <w:rPr>
          <w:rFonts w:ascii="Times New Roman" w:eastAsia="Times New Roman" w:hAnsi="Times New Roman" w:cs="Times New Roman"/>
          <w:color w:val="000000"/>
          <w:sz w:val="25"/>
          <w:szCs w:val="25"/>
        </w:rPr>
        <w:t xml:space="preserve"> importance of vancomycin in drug rash with eosinophilia and systemic symptoms (DRESS) syndrome. </w:t>
      </w:r>
      <w:r w:rsidRPr="00AB7588">
        <w:rPr>
          <w:rFonts w:ascii="Times New Roman" w:eastAsia="Times New Roman" w:hAnsi="Times New Roman" w:cs="Times New Roman"/>
          <w:i/>
          <w:iCs/>
          <w:color w:val="000000"/>
          <w:sz w:val="25"/>
          <w:szCs w:val="25"/>
        </w:rPr>
        <w:t>Allergy Asthma Proc</w:t>
      </w:r>
      <w:r w:rsidRPr="00AB7588">
        <w:rPr>
          <w:rFonts w:ascii="Times New Roman" w:eastAsia="Times New Roman" w:hAnsi="Times New Roman" w:cs="Times New Roman"/>
          <w:color w:val="000000"/>
          <w:sz w:val="25"/>
          <w:szCs w:val="25"/>
        </w:rPr>
        <w:t xml:space="preserve"> 33: 165–171.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Brown M., Polisetty R., Gracely E., Cuhaci B., Schlecht H. (2011) Weight-based loading of vancomycin in patients on hemodialysis. </w:t>
      </w:r>
      <w:r w:rsidRPr="00AB7588">
        <w:rPr>
          <w:rFonts w:ascii="Times New Roman" w:eastAsia="Times New Roman" w:hAnsi="Times New Roman" w:cs="Times New Roman"/>
          <w:i/>
          <w:iCs/>
          <w:color w:val="000000"/>
          <w:sz w:val="25"/>
          <w:szCs w:val="25"/>
        </w:rPr>
        <w:t>Clin Infect Dis</w:t>
      </w:r>
      <w:r w:rsidRPr="00AB7588">
        <w:rPr>
          <w:rFonts w:ascii="Times New Roman" w:eastAsia="Times New Roman" w:hAnsi="Times New Roman" w:cs="Times New Roman"/>
          <w:color w:val="000000"/>
          <w:sz w:val="25"/>
          <w:szCs w:val="25"/>
        </w:rPr>
        <w:t> 53</w:t>
      </w:r>
      <w:r>
        <w:rPr>
          <w:rFonts w:ascii="Times New Roman" w:eastAsia="Times New Roman" w:hAnsi="Times New Roman" w:cs="Times New Roman"/>
          <w:color w:val="000000"/>
          <w:sz w:val="25"/>
          <w:szCs w:val="25"/>
        </w:rPr>
        <w:t xml:space="preserve">: 164–166.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Burgess L., Drew R. (2014) Comparison of the incidence of vancomycin-induced nephrotoxicity in hospitalized patients with and without concomitant piperacillin-tazobactam. </w:t>
      </w:r>
      <w:r w:rsidRPr="00AB7588">
        <w:rPr>
          <w:rFonts w:ascii="Times New Roman" w:eastAsia="Times New Roman" w:hAnsi="Times New Roman" w:cs="Times New Roman"/>
          <w:i/>
          <w:iCs/>
          <w:color w:val="000000"/>
          <w:sz w:val="25"/>
          <w:szCs w:val="25"/>
        </w:rPr>
        <w:t>Pharmacotherapy</w:t>
      </w:r>
      <w:r w:rsidRPr="00AB7588">
        <w:rPr>
          <w:rFonts w:ascii="Times New Roman" w:eastAsia="Times New Roman" w:hAnsi="Times New Roman" w:cs="Times New Roman"/>
          <w:color w:val="000000"/>
          <w:sz w:val="25"/>
          <w:szCs w:val="25"/>
        </w:rPr>
        <w:t> 34: 670–676.]</w:t>
      </w:r>
    </w:p>
    <w:p w:rsid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Burton M., Gentle D., Vasko M. (1989) Evaluation of a Bayesian method for predicting vancomycin dosing. </w:t>
      </w:r>
      <w:r w:rsidRPr="00AB7588">
        <w:rPr>
          <w:rFonts w:ascii="Times New Roman" w:eastAsia="Times New Roman" w:hAnsi="Times New Roman" w:cs="Times New Roman"/>
          <w:i/>
          <w:iCs/>
          <w:color w:val="000000"/>
          <w:sz w:val="25"/>
          <w:szCs w:val="25"/>
        </w:rPr>
        <w:t>Ann Pharmacother</w:t>
      </w:r>
      <w:r w:rsidRPr="00AB7588">
        <w:rPr>
          <w:rFonts w:ascii="Times New Roman" w:eastAsia="Times New Roman" w:hAnsi="Times New Roman" w:cs="Times New Roman"/>
          <w:color w:val="000000"/>
          <w:sz w:val="25"/>
          <w:szCs w:val="25"/>
        </w:rPr>
        <w:t> 23: 294–300</w:t>
      </w:r>
      <w:r>
        <w:rPr>
          <w:rFonts w:ascii="Times New Roman" w:eastAsia="Times New Roman" w:hAnsi="Times New Roman" w:cs="Times New Roman"/>
          <w:color w:val="000000"/>
          <w:sz w:val="25"/>
          <w:szCs w:val="25"/>
        </w:rPr>
        <w:t>.</w:t>
      </w:r>
      <w:r w:rsidRPr="00AB7588">
        <w:rPr>
          <w:rFonts w:ascii="Times New Roman" w:eastAsia="Times New Roman" w:hAnsi="Times New Roman" w:cs="Times New Roman"/>
          <w:color w:val="000000"/>
          <w:sz w:val="25"/>
          <w:szCs w:val="25"/>
        </w:rPr>
        <w:t xml:space="preserve">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Camaione L., Elliott K., Mitchell-Van Steele A., Lomaestro B., Pai M. (2013) Vancomycin dosing in children and young adults: back to the drawing board. </w:t>
      </w:r>
      <w:r w:rsidRPr="00AB7588">
        <w:rPr>
          <w:rFonts w:ascii="Times New Roman" w:eastAsia="Times New Roman" w:hAnsi="Times New Roman" w:cs="Times New Roman"/>
          <w:i/>
          <w:iCs/>
          <w:color w:val="000000"/>
          <w:sz w:val="25"/>
          <w:szCs w:val="25"/>
        </w:rPr>
        <w:t>Pharmacotherapy</w:t>
      </w:r>
      <w:r w:rsidRPr="00AB7588">
        <w:rPr>
          <w:rFonts w:ascii="Times New Roman" w:eastAsia="Times New Roman" w:hAnsi="Times New Roman" w:cs="Times New Roman"/>
          <w:color w:val="000000"/>
          <w:sz w:val="25"/>
          <w:szCs w:val="25"/>
        </w:rPr>
        <w:t xml:space="preserve"> 33: 1278–1287.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Cano E., Haque N., Welch V., Cely C., Peyrani P., Scerpella E., et al. (2012) Improving Medicine through Pathway Assessment of Critical Therapy of Hospital-Acquired Pneumonia (IMPACT-HAP) Study Group. Incidence of nephrotoxicity and association with vancomycin use in intensive care unit patients with pneumonia: retrospective analysis of the IMPACT-HAP Database. </w:t>
      </w:r>
      <w:r w:rsidRPr="00AB7588">
        <w:rPr>
          <w:rFonts w:ascii="Times New Roman" w:eastAsia="Times New Roman" w:hAnsi="Times New Roman" w:cs="Times New Roman"/>
          <w:i/>
          <w:iCs/>
          <w:color w:val="000000"/>
          <w:sz w:val="25"/>
          <w:szCs w:val="25"/>
        </w:rPr>
        <w:t>Clin Ther</w:t>
      </w:r>
      <w:r w:rsidRPr="00AB7588">
        <w:rPr>
          <w:rFonts w:ascii="Times New Roman" w:eastAsia="Times New Roman" w:hAnsi="Times New Roman" w:cs="Times New Roman"/>
          <w:color w:val="000000"/>
          <w:sz w:val="25"/>
          <w:szCs w:val="25"/>
        </w:rPr>
        <w:t xml:space="preserve"> 34: 149–157.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Cantu T., Yamanaka-Yuen N., Leitman P. (1994) Serum vancomycin concentrations: reappraisal of their clinical value. </w:t>
      </w:r>
      <w:r w:rsidRPr="00AB7588">
        <w:rPr>
          <w:rFonts w:ascii="Times New Roman" w:eastAsia="Times New Roman" w:hAnsi="Times New Roman" w:cs="Times New Roman"/>
          <w:i/>
          <w:iCs/>
          <w:color w:val="000000"/>
          <w:sz w:val="25"/>
          <w:szCs w:val="25"/>
        </w:rPr>
        <w:t>Clin Infect Dis</w:t>
      </w:r>
      <w:r w:rsidRPr="00AB7588">
        <w:rPr>
          <w:rFonts w:ascii="Times New Roman" w:eastAsia="Times New Roman" w:hAnsi="Times New Roman" w:cs="Times New Roman"/>
          <w:color w:val="000000"/>
          <w:sz w:val="25"/>
          <w:szCs w:val="25"/>
        </w:rPr>
        <w:t> 18: 533–543.</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Centers for Disease Control and Prevention (2002) </w:t>
      </w:r>
      <w:r w:rsidRPr="00AB7588">
        <w:rPr>
          <w:rFonts w:ascii="Times New Roman" w:eastAsia="Times New Roman" w:hAnsi="Times New Roman" w:cs="Times New Roman"/>
          <w:i/>
          <w:iCs/>
          <w:color w:val="000000"/>
          <w:sz w:val="25"/>
          <w:szCs w:val="25"/>
        </w:rPr>
        <w:t>Staphylococcus aureus</w:t>
      </w:r>
      <w:r w:rsidRPr="00AB7588">
        <w:rPr>
          <w:rFonts w:ascii="Times New Roman" w:eastAsia="Times New Roman" w:hAnsi="Times New Roman" w:cs="Times New Roman"/>
          <w:color w:val="000000"/>
          <w:sz w:val="25"/>
          <w:szCs w:val="25"/>
        </w:rPr>
        <w:t> resistant to vancomycin—United States, 2002 </w:t>
      </w:r>
      <w:r w:rsidRPr="00AB7588">
        <w:rPr>
          <w:rFonts w:ascii="Times New Roman" w:eastAsia="Times New Roman" w:hAnsi="Times New Roman" w:cs="Times New Roman"/>
          <w:i/>
          <w:iCs/>
          <w:color w:val="000000"/>
          <w:sz w:val="25"/>
          <w:szCs w:val="25"/>
        </w:rPr>
        <w:t>MMWR Morb Mortal Wkly Rep</w:t>
      </w:r>
      <w:r w:rsidRPr="00AB7588">
        <w:rPr>
          <w:rFonts w:ascii="Times New Roman" w:eastAsia="Times New Roman" w:hAnsi="Times New Roman" w:cs="Times New Roman"/>
          <w:color w:val="000000"/>
          <w:sz w:val="25"/>
          <w:szCs w:val="25"/>
        </w:rPr>
        <w:t xml:space="preserve"> 51: 565–567. </w:t>
      </w:r>
    </w:p>
    <w:p w:rsid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Cetin H., Olgar S., Oktem F., Ciris M., Uz E, Aslan C., et al. (2007) Novel evidence suggesting an anti-oxidant property for erythropoietin on vancomycin-induced nephrotoxicity in a rat model. </w:t>
      </w:r>
      <w:r w:rsidRPr="00AB7588">
        <w:rPr>
          <w:rFonts w:ascii="Times New Roman" w:eastAsia="Times New Roman" w:hAnsi="Times New Roman" w:cs="Times New Roman"/>
          <w:i/>
          <w:iCs/>
          <w:color w:val="000000"/>
          <w:sz w:val="25"/>
          <w:szCs w:val="25"/>
        </w:rPr>
        <w:t>Clin Exp Pharmacol Physiol</w:t>
      </w:r>
      <w:r w:rsidRPr="00AB7588">
        <w:rPr>
          <w:rFonts w:ascii="Times New Roman" w:eastAsia="Times New Roman" w:hAnsi="Times New Roman" w:cs="Times New Roman"/>
          <w:color w:val="000000"/>
          <w:sz w:val="25"/>
          <w:szCs w:val="25"/>
        </w:rPr>
        <w:t xml:space="preserve"> 34: 1181–1185.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Chastre J., Blasi F., Masterton R., Relio J., Torres A., Welte T. (2014) European perspective and update on the management of nosocomial pneumonia due to methicillin-resistant Staphylococcus aureus after more than 10 years of experience with linezolid. </w:t>
      </w:r>
      <w:r w:rsidRPr="00AB7588">
        <w:rPr>
          <w:rFonts w:ascii="Times New Roman" w:eastAsia="Times New Roman" w:hAnsi="Times New Roman" w:cs="Times New Roman"/>
          <w:i/>
          <w:iCs/>
          <w:color w:val="000000"/>
          <w:sz w:val="25"/>
          <w:szCs w:val="25"/>
        </w:rPr>
        <w:t>Clin Microbiol Infect</w:t>
      </w:r>
      <w:r w:rsidRPr="00AB7588">
        <w:rPr>
          <w:rFonts w:ascii="Times New Roman" w:eastAsia="Times New Roman" w:hAnsi="Times New Roman" w:cs="Times New Roman"/>
          <w:color w:val="000000"/>
          <w:sz w:val="25"/>
          <w:szCs w:val="25"/>
        </w:rPr>
        <w:t xml:space="preserve"> 20 (Suppl. 4): 19–36. </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Coca S., Yalavarthy R., Concato J., Parikh C. (2008) Biomarkers for the diagnosis and risk stratification of acute kidney injury: a systematic review. </w:t>
      </w:r>
      <w:r w:rsidRPr="00AB7588">
        <w:rPr>
          <w:rFonts w:ascii="Times New Roman" w:eastAsia="Times New Roman" w:hAnsi="Times New Roman" w:cs="Times New Roman"/>
          <w:i/>
          <w:iCs/>
          <w:color w:val="000000"/>
          <w:sz w:val="25"/>
          <w:szCs w:val="25"/>
        </w:rPr>
        <w:t>Kidney Int</w:t>
      </w:r>
      <w:r w:rsidRPr="00AB7588">
        <w:rPr>
          <w:rFonts w:ascii="Times New Roman" w:eastAsia="Times New Roman" w:hAnsi="Times New Roman" w:cs="Times New Roman"/>
          <w:color w:val="000000"/>
          <w:sz w:val="25"/>
          <w:szCs w:val="25"/>
        </w:rPr>
        <w:t xml:space="preserve"> 73: 1008–1016. </w:t>
      </w:r>
    </w:p>
    <w:p w:rsidR="00AB7588" w:rsidRPr="00AB7588" w:rsidRDefault="00AB7588" w:rsidP="009058BA">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Cole T., Riordan A. (2013) Vancomycin dosing in children: what is the question? </w:t>
      </w:r>
      <w:r w:rsidRPr="00AB7588">
        <w:rPr>
          <w:rFonts w:ascii="Times New Roman" w:eastAsia="Times New Roman" w:hAnsi="Times New Roman" w:cs="Times New Roman"/>
          <w:i/>
          <w:iCs/>
          <w:color w:val="000000"/>
          <w:sz w:val="25"/>
          <w:szCs w:val="25"/>
        </w:rPr>
        <w:t>Arch Dis Child</w:t>
      </w:r>
      <w:r w:rsidR="009058BA">
        <w:rPr>
          <w:rFonts w:ascii="Times New Roman" w:eastAsia="Times New Roman" w:hAnsi="Times New Roman" w:cs="Times New Roman"/>
          <w:color w:val="000000"/>
          <w:sz w:val="25"/>
          <w:szCs w:val="25"/>
        </w:rPr>
        <w:t xml:space="preserve"> 98: 994–997. </w:t>
      </w:r>
    </w:p>
    <w:p w:rsidR="00AB7588" w:rsidRPr="00AB7588" w:rsidRDefault="00AB7588" w:rsidP="009058BA">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Contreiras C., Legal M., Lau T., Thalakada R., Shalansky S., Ensom M. (2014) Identification of risk factors for nephrotoxicity in patients receiving extended-duration, high-trough vancomycin therapy. </w:t>
      </w:r>
      <w:r w:rsidRPr="00AB7588">
        <w:rPr>
          <w:rFonts w:ascii="Times New Roman" w:eastAsia="Times New Roman" w:hAnsi="Times New Roman" w:cs="Times New Roman"/>
          <w:i/>
          <w:iCs/>
          <w:color w:val="000000"/>
          <w:sz w:val="25"/>
          <w:szCs w:val="25"/>
        </w:rPr>
        <w:t>Can J Hosp Pharm</w:t>
      </w:r>
      <w:r w:rsidR="009058BA">
        <w:rPr>
          <w:rFonts w:ascii="Times New Roman" w:eastAsia="Times New Roman" w:hAnsi="Times New Roman" w:cs="Times New Roman"/>
          <w:color w:val="000000"/>
          <w:sz w:val="25"/>
          <w:szCs w:val="25"/>
        </w:rPr>
        <w:t> 67: 126–132. </w:t>
      </w:r>
    </w:p>
    <w:p w:rsidR="00AB7588" w:rsidRPr="00AB7588" w:rsidRDefault="00AB7588" w:rsidP="009058BA">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Dalaklioglu S., Tekcan M., Gungor N., Celik-Ozenci C., Aksoy N., Baykal A., et al. (2010) Role of the poly (ADP-ribose) polymerase activity in vancomycin-induced renal injury. </w:t>
      </w:r>
      <w:r w:rsidRPr="00AB7588">
        <w:rPr>
          <w:rFonts w:ascii="Times New Roman" w:eastAsia="Times New Roman" w:hAnsi="Times New Roman" w:cs="Times New Roman"/>
          <w:i/>
          <w:iCs/>
          <w:color w:val="000000"/>
          <w:sz w:val="25"/>
          <w:szCs w:val="25"/>
        </w:rPr>
        <w:t>Toxicol Lett</w:t>
      </w:r>
      <w:r w:rsidRPr="00AB7588">
        <w:rPr>
          <w:rFonts w:ascii="Times New Roman" w:eastAsia="Times New Roman" w:hAnsi="Times New Roman" w:cs="Times New Roman"/>
          <w:color w:val="000000"/>
          <w:sz w:val="25"/>
          <w:szCs w:val="25"/>
        </w:rPr>
        <w:t xml:space="preserve"> 192: 91–96. </w:t>
      </w:r>
    </w:p>
    <w:p w:rsidR="00AB7588" w:rsidRPr="00AB7588" w:rsidRDefault="00AB7588" w:rsidP="009058BA">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Danziger J., Chen K., Lee J., Feng M., Mark R., Celi L., et al. (2016) Obesity, acute kidney injury, and mortality in critical illness. </w:t>
      </w:r>
      <w:r w:rsidRPr="00AB7588">
        <w:rPr>
          <w:rFonts w:ascii="Times New Roman" w:eastAsia="Times New Roman" w:hAnsi="Times New Roman" w:cs="Times New Roman"/>
          <w:i/>
          <w:iCs/>
          <w:color w:val="000000"/>
          <w:sz w:val="25"/>
          <w:szCs w:val="25"/>
        </w:rPr>
        <w:t>Crit Care Med</w:t>
      </w:r>
      <w:r w:rsidR="009058BA">
        <w:rPr>
          <w:rFonts w:ascii="Times New Roman" w:eastAsia="Times New Roman" w:hAnsi="Times New Roman" w:cs="Times New Roman"/>
          <w:color w:val="000000"/>
          <w:sz w:val="25"/>
          <w:szCs w:val="25"/>
        </w:rPr>
        <w:t> 44: 328–334. </w:t>
      </w:r>
    </w:p>
    <w:p w:rsidR="00AB7588" w:rsidRPr="00AB7588" w:rsidRDefault="00AB7588" w:rsidP="009058BA">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Darko W., Medicis J., Smith A., Guharoy R., Lehmann D. (2003) Mississippi muds no more: cost-effectiveness of pharmacokinetic dosage adjustment of vancomycin to prevent nephrotoxicity. </w:t>
      </w:r>
      <w:r w:rsidRPr="00AB7588">
        <w:rPr>
          <w:rFonts w:ascii="Times New Roman" w:eastAsia="Times New Roman" w:hAnsi="Times New Roman" w:cs="Times New Roman"/>
          <w:i/>
          <w:iCs/>
          <w:color w:val="000000"/>
          <w:sz w:val="25"/>
          <w:szCs w:val="25"/>
        </w:rPr>
        <w:t>Pharmacotherapy</w:t>
      </w:r>
      <w:r w:rsidR="009058BA">
        <w:rPr>
          <w:rFonts w:ascii="Times New Roman" w:eastAsia="Times New Roman" w:hAnsi="Times New Roman" w:cs="Times New Roman"/>
          <w:color w:val="000000"/>
          <w:sz w:val="25"/>
          <w:szCs w:val="25"/>
        </w:rPr>
        <w:t xml:space="preserve"> 23: 643–650. </w:t>
      </w:r>
    </w:p>
    <w:p w:rsidR="00AB7588" w:rsidRPr="00AB7588" w:rsidRDefault="00AB7588" w:rsidP="009058BA">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Davies S., Efird J., Guidry C., Dietch Z., Willis R., Shah P., et al. (2015) Vancomycin-associated nephrotoxicity: the obesity factor. </w:t>
      </w:r>
      <w:r w:rsidRPr="00AB7588">
        <w:rPr>
          <w:rFonts w:ascii="Times New Roman" w:eastAsia="Times New Roman" w:hAnsi="Times New Roman" w:cs="Times New Roman"/>
          <w:i/>
          <w:iCs/>
          <w:color w:val="000000"/>
          <w:sz w:val="25"/>
          <w:szCs w:val="25"/>
        </w:rPr>
        <w:t>Surg Infect (Larchmt)</w:t>
      </w:r>
      <w:r w:rsidR="009058BA">
        <w:rPr>
          <w:rFonts w:ascii="Times New Roman" w:eastAsia="Times New Roman" w:hAnsi="Times New Roman" w:cs="Times New Roman"/>
          <w:color w:val="000000"/>
          <w:sz w:val="25"/>
          <w:szCs w:val="25"/>
        </w:rPr>
        <w:t> 16: 684–693. </w:t>
      </w:r>
    </w:p>
    <w:p w:rsidR="00AB7588" w:rsidRPr="00AB7588" w:rsidRDefault="00AB7588" w:rsidP="009058BA">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Davies S., Guidry C., Petroze R., Hranjec T., Sawyer R. (2013) Vancomycin and nephrotoxicity: just another myth? </w:t>
      </w:r>
      <w:r w:rsidRPr="00AB7588">
        <w:rPr>
          <w:rFonts w:ascii="Times New Roman" w:eastAsia="Times New Roman" w:hAnsi="Times New Roman" w:cs="Times New Roman"/>
          <w:i/>
          <w:iCs/>
          <w:color w:val="000000"/>
          <w:sz w:val="25"/>
          <w:szCs w:val="25"/>
        </w:rPr>
        <w:t>J Trauma Acute Care Surg</w:t>
      </w:r>
      <w:r w:rsidRPr="00AB7588">
        <w:rPr>
          <w:rFonts w:ascii="Times New Roman" w:eastAsia="Times New Roman" w:hAnsi="Times New Roman" w:cs="Times New Roman"/>
          <w:color w:val="000000"/>
          <w:sz w:val="25"/>
          <w:szCs w:val="25"/>
        </w:rPr>
        <w:t> 75: 830–835.</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Decker B., Kays M., Chambers M., Kraus M., Moe S., Sowinski K. (2010) Vancomycin pharmacokinetics and pharmacodynamics during short daily hemodialysis. </w:t>
      </w:r>
      <w:r w:rsidRPr="00AB7588">
        <w:rPr>
          <w:rFonts w:ascii="Times New Roman" w:eastAsia="Times New Roman" w:hAnsi="Times New Roman" w:cs="Times New Roman"/>
          <w:i/>
          <w:iCs/>
          <w:color w:val="000000"/>
          <w:sz w:val="25"/>
          <w:szCs w:val="25"/>
        </w:rPr>
        <w:t>Clin J Am Soc Nephrol</w:t>
      </w:r>
      <w:r w:rsidRPr="00AB7588">
        <w:rPr>
          <w:rFonts w:ascii="Times New Roman" w:eastAsia="Times New Roman" w:hAnsi="Times New Roman" w:cs="Times New Roman"/>
          <w:color w:val="000000"/>
          <w:sz w:val="25"/>
          <w:szCs w:val="25"/>
        </w:rPr>
        <w:t> 5: 1981–1987. [</w:t>
      </w:r>
      <w:hyperlink r:id="rId184"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185"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186"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D’Hoore E., Neirynck N., Schepers E., Vanholder R., Verbeke F., Van Thielen M., et al. (2015). Chronic kidney disease progression is mainly associated with non-recovery of acute kidney injury.</w:t>
      </w:r>
      <w:r w:rsidRPr="00AB7588">
        <w:rPr>
          <w:rFonts w:ascii="Times New Roman" w:eastAsia="Times New Roman" w:hAnsi="Times New Roman" w:cs="Times New Roman"/>
          <w:i/>
          <w:iCs/>
          <w:color w:val="000000"/>
          <w:sz w:val="25"/>
          <w:szCs w:val="25"/>
        </w:rPr>
        <w:t>J Nephrol</w:t>
      </w:r>
      <w:r w:rsidRPr="00AB7588">
        <w:rPr>
          <w:rFonts w:ascii="Times New Roman" w:eastAsia="Times New Roman" w:hAnsi="Times New Roman" w:cs="Times New Roman"/>
          <w:color w:val="000000"/>
          <w:sz w:val="25"/>
          <w:szCs w:val="25"/>
        </w:rPr>
        <w:t> 28: 709–716. [</w:t>
      </w:r>
      <w:hyperlink r:id="rId187"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188"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DiMondi V., Rafferty K. (2013) Review of continuous-infusion vancomycin. </w:t>
      </w:r>
      <w:r w:rsidRPr="00AB7588">
        <w:rPr>
          <w:rFonts w:ascii="Times New Roman" w:eastAsia="Times New Roman" w:hAnsi="Times New Roman" w:cs="Times New Roman"/>
          <w:i/>
          <w:iCs/>
          <w:color w:val="000000"/>
          <w:sz w:val="25"/>
          <w:szCs w:val="25"/>
        </w:rPr>
        <w:t>Ann Pharmacother</w:t>
      </w:r>
      <w:r w:rsidRPr="00AB7588">
        <w:rPr>
          <w:rFonts w:ascii="Times New Roman" w:eastAsia="Times New Roman" w:hAnsi="Times New Roman" w:cs="Times New Roman"/>
          <w:color w:val="000000"/>
          <w:sz w:val="25"/>
          <w:szCs w:val="25"/>
        </w:rPr>
        <w:t> 47: 219–227. [</w:t>
      </w:r>
      <w:hyperlink r:id="rId189"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19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Eiland L., Sonawane K. (2014) Vancomycin dosing in healthy-weight, overweight, and obese pediatric patients. </w:t>
      </w:r>
      <w:r w:rsidRPr="00AB7588">
        <w:rPr>
          <w:rFonts w:ascii="Times New Roman" w:eastAsia="Times New Roman" w:hAnsi="Times New Roman" w:cs="Times New Roman"/>
          <w:i/>
          <w:iCs/>
          <w:color w:val="000000"/>
          <w:sz w:val="25"/>
          <w:szCs w:val="25"/>
        </w:rPr>
        <w:t>J Pediatr Pharmacol Ther</w:t>
      </w:r>
      <w:r w:rsidRPr="00AB7588">
        <w:rPr>
          <w:rFonts w:ascii="Times New Roman" w:eastAsia="Times New Roman" w:hAnsi="Times New Roman" w:cs="Times New Roman"/>
          <w:color w:val="000000"/>
          <w:sz w:val="25"/>
          <w:szCs w:val="25"/>
        </w:rPr>
        <w:t> 19: 182–188. [</w:t>
      </w:r>
      <w:hyperlink r:id="rId191"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192"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193"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Elyasi S., Khalili H., Dashti-Khavidaki S., Mohammadpour A. (2012) Vancomycin-induced nephrotoxicity: mechanism, incidence, risk factors and special populations. A literature review. </w:t>
      </w:r>
      <w:r w:rsidRPr="00AB7588">
        <w:rPr>
          <w:rFonts w:ascii="Times New Roman" w:eastAsia="Times New Roman" w:hAnsi="Times New Roman" w:cs="Times New Roman"/>
          <w:i/>
          <w:iCs/>
          <w:color w:val="000000"/>
          <w:sz w:val="25"/>
          <w:szCs w:val="25"/>
        </w:rPr>
        <w:t>Eur J Clin Pharmacol</w:t>
      </w:r>
      <w:r w:rsidRPr="00AB7588">
        <w:rPr>
          <w:rFonts w:ascii="Times New Roman" w:eastAsia="Times New Roman" w:hAnsi="Times New Roman" w:cs="Times New Roman"/>
          <w:color w:val="000000"/>
          <w:sz w:val="25"/>
          <w:szCs w:val="25"/>
        </w:rPr>
        <w:t> 68: 1243–1255. [</w:t>
      </w:r>
      <w:hyperlink r:id="rId194"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195"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Farber B., Moellering R., Jr (1983) Retrospective study of the toxicity of preparations of vancomycin from 1974 to 1981. </w:t>
      </w:r>
      <w:r w:rsidRPr="00AB7588">
        <w:rPr>
          <w:rFonts w:ascii="Times New Roman" w:eastAsia="Times New Roman" w:hAnsi="Times New Roman" w:cs="Times New Roman"/>
          <w:i/>
          <w:iCs/>
          <w:color w:val="000000"/>
          <w:sz w:val="25"/>
          <w:szCs w:val="25"/>
        </w:rPr>
        <w:t>Antimicrob Agents Chemother</w:t>
      </w:r>
      <w:r w:rsidRPr="00AB7588">
        <w:rPr>
          <w:rFonts w:ascii="Times New Roman" w:eastAsia="Times New Roman" w:hAnsi="Times New Roman" w:cs="Times New Roman"/>
          <w:color w:val="000000"/>
          <w:sz w:val="25"/>
          <w:szCs w:val="25"/>
        </w:rPr>
        <w:t> 23: 138–141. [</w:t>
      </w:r>
      <w:hyperlink r:id="rId196"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197"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198"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Fridkin S. (2001) Vancomycin-intermediate and -resistant </w:t>
      </w:r>
      <w:r w:rsidRPr="00AB7588">
        <w:rPr>
          <w:rFonts w:ascii="Times New Roman" w:eastAsia="Times New Roman" w:hAnsi="Times New Roman" w:cs="Times New Roman"/>
          <w:i/>
          <w:iCs/>
          <w:color w:val="000000"/>
          <w:sz w:val="25"/>
          <w:szCs w:val="25"/>
        </w:rPr>
        <w:t>Staphylococcus aureus</w:t>
      </w:r>
      <w:r w:rsidRPr="00AB7588">
        <w:rPr>
          <w:rFonts w:ascii="Times New Roman" w:eastAsia="Times New Roman" w:hAnsi="Times New Roman" w:cs="Times New Roman"/>
          <w:color w:val="000000"/>
          <w:sz w:val="25"/>
          <w:szCs w:val="25"/>
        </w:rPr>
        <w:t>: what the infectious disease specialist needs to know. </w:t>
      </w:r>
      <w:r w:rsidRPr="00AB7588">
        <w:rPr>
          <w:rFonts w:ascii="Times New Roman" w:eastAsia="Times New Roman" w:hAnsi="Times New Roman" w:cs="Times New Roman"/>
          <w:i/>
          <w:iCs/>
          <w:color w:val="000000"/>
          <w:sz w:val="25"/>
          <w:szCs w:val="25"/>
        </w:rPr>
        <w:t>Clin Infect Dis</w:t>
      </w:r>
      <w:r w:rsidRPr="00AB7588">
        <w:rPr>
          <w:rFonts w:ascii="Times New Roman" w:eastAsia="Times New Roman" w:hAnsi="Times New Roman" w:cs="Times New Roman"/>
          <w:color w:val="000000"/>
          <w:sz w:val="25"/>
          <w:szCs w:val="25"/>
        </w:rPr>
        <w:t> 32: 108–115. [</w:t>
      </w:r>
      <w:hyperlink r:id="rId199"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0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Gomes D., Smotherman C., Birch A., Dupree L., Della Vecchia B., Kraemer D., et al. (2014) Comparison of acute kidney injury during treatment with vancomycin in combination with piperacillin-tazobactam or cefepime. </w:t>
      </w:r>
      <w:r w:rsidRPr="00AB7588">
        <w:rPr>
          <w:rFonts w:ascii="Times New Roman" w:eastAsia="Times New Roman" w:hAnsi="Times New Roman" w:cs="Times New Roman"/>
          <w:i/>
          <w:iCs/>
          <w:color w:val="000000"/>
          <w:sz w:val="25"/>
          <w:szCs w:val="25"/>
        </w:rPr>
        <w:t>Pharmacotherapy</w:t>
      </w:r>
      <w:r w:rsidRPr="00AB7588">
        <w:rPr>
          <w:rFonts w:ascii="Times New Roman" w:eastAsia="Times New Roman" w:hAnsi="Times New Roman" w:cs="Times New Roman"/>
          <w:color w:val="000000"/>
          <w:sz w:val="25"/>
          <w:szCs w:val="25"/>
        </w:rPr>
        <w:t> 34: 662–669. [</w:t>
      </w:r>
      <w:hyperlink r:id="rId201"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02"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Goren M., Baker D., Jr, Shenep J. (1989) Vancomycin does not enhance amikacin-induced tubular nephrotoxicity in children. </w:t>
      </w:r>
      <w:r w:rsidRPr="00AB7588">
        <w:rPr>
          <w:rFonts w:ascii="Times New Roman" w:eastAsia="Times New Roman" w:hAnsi="Times New Roman" w:cs="Times New Roman"/>
          <w:i/>
          <w:iCs/>
          <w:color w:val="000000"/>
          <w:sz w:val="25"/>
          <w:szCs w:val="25"/>
        </w:rPr>
        <w:t>Pediatr Infect Dis J</w:t>
      </w:r>
      <w:r w:rsidRPr="00AB7588">
        <w:rPr>
          <w:rFonts w:ascii="Times New Roman" w:eastAsia="Times New Roman" w:hAnsi="Times New Roman" w:cs="Times New Roman"/>
          <w:color w:val="000000"/>
          <w:sz w:val="25"/>
          <w:szCs w:val="25"/>
        </w:rPr>
        <w:t> 8: 278–282. [</w:t>
      </w:r>
      <w:hyperlink r:id="rId203"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04"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Grace E. (2012) Altered vancomycin pharmacokinetics in obese and morbidly obese patients: what we have learned over the past 30 years. </w:t>
      </w:r>
      <w:r w:rsidRPr="00AB7588">
        <w:rPr>
          <w:rFonts w:ascii="Times New Roman" w:eastAsia="Times New Roman" w:hAnsi="Times New Roman" w:cs="Times New Roman"/>
          <w:i/>
          <w:iCs/>
          <w:color w:val="000000"/>
          <w:sz w:val="25"/>
          <w:szCs w:val="25"/>
        </w:rPr>
        <w:t>J Antimicrob Chemother</w:t>
      </w:r>
      <w:r w:rsidRPr="00AB7588">
        <w:rPr>
          <w:rFonts w:ascii="Times New Roman" w:eastAsia="Times New Roman" w:hAnsi="Times New Roman" w:cs="Times New Roman"/>
          <w:color w:val="000000"/>
          <w:sz w:val="25"/>
          <w:szCs w:val="25"/>
        </w:rPr>
        <w:t> 67: 1305–1310. [</w:t>
      </w:r>
      <w:hyperlink r:id="rId205"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06"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Haeseker M., Croes S., Neef C., Bruggeman C., Stolk L., Verbon A. (2016) Evaluation of vancomycin prediction methods based on estimated creatinine clearance or trough levels. </w:t>
      </w:r>
      <w:r w:rsidRPr="00AB7588">
        <w:rPr>
          <w:rFonts w:ascii="Times New Roman" w:eastAsia="Times New Roman" w:hAnsi="Times New Roman" w:cs="Times New Roman"/>
          <w:i/>
          <w:iCs/>
          <w:color w:val="000000"/>
          <w:sz w:val="25"/>
          <w:szCs w:val="25"/>
        </w:rPr>
        <w:t>Ther Drug Monit</w:t>
      </w:r>
      <w:r w:rsidRPr="00AB7588">
        <w:rPr>
          <w:rFonts w:ascii="Times New Roman" w:eastAsia="Times New Roman" w:hAnsi="Times New Roman" w:cs="Times New Roman"/>
          <w:color w:val="000000"/>
          <w:sz w:val="25"/>
          <w:szCs w:val="25"/>
        </w:rPr>
        <w:t> 38: 120–126. [</w:t>
      </w:r>
      <w:hyperlink r:id="rId207"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08"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Hanrahan T., Kotapati C., Roberts M., Rowland J., Lipman J., Roberts J., et al. (2015) Factors associated with vancomycin nephrotoxicity in the critically ill. </w:t>
      </w:r>
      <w:r w:rsidRPr="00AB7588">
        <w:rPr>
          <w:rFonts w:ascii="Times New Roman" w:eastAsia="Times New Roman" w:hAnsi="Times New Roman" w:cs="Times New Roman"/>
          <w:i/>
          <w:iCs/>
          <w:color w:val="000000"/>
          <w:sz w:val="25"/>
          <w:szCs w:val="25"/>
        </w:rPr>
        <w:t>Anaesth Intensive Care</w:t>
      </w:r>
      <w:r w:rsidRPr="00AB7588">
        <w:rPr>
          <w:rFonts w:ascii="Times New Roman" w:eastAsia="Times New Roman" w:hAnsi="Times New Roman" w:cs="Times New Roman"/>
          <w:color w:val="000000"/>
          <w:sz w:val="25"/>
          <w:szCs w:val="25"/>
        </w:rPr>
        <w:t> 43: 594–599. [</w:t>
      </w:r>
      <w:hyperlink r:id="rId209"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1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Harigaya Y., Bulitta J., Forrest A., Sakoulas G., Lesse A., Mylotte J., et al. (2009) Pharmacodynamics of vancomycin at simulated epithelial lining fluid concentrations against methicillin-resistant Staphylococcus aureus (MRSA): implications for dosing in MRSA pneumonia. </w:t>
      </w:r>
      <w:r w:rsidRPr="00AB7588">
        <w:rPr>
          <w:rFonts w:ascii="Times New Roman" w:eastAsia="Times New Roman" w:hAnsi="Times New Roman" w:cs="Times New Roman"/>
          <w:i/>
          <w:iCs/>
          <w:color w:val="000000"/>
          <w:sz w:val="25"/>
          <w:szCs w:val="25"/>
        </w:rPr>
        <w:t>Antimicrob Agents Chemother</w:t>
      </w:r>
      <w:r w:rsidRPr="00AB7588">
        <w:rPr>
          <w:rFonts w:ascii="Times New Roman" w:eastAsia="Times New Roman" w:hAnsi="Times New Roman" w:cs="Times New Roman"/>
          <w:color w:val="000000"/>
          <w:sz w:val="25"/>
          <w:szCs w:val="25"/>
        </w:rPr>
        <w:t> 53: 3894–3901. [</w:t>
      </w:r>
      <w:hyperlink r:id="rId211"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12"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13"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Heble D., Jr, McPherson C., Nelson M., Hunstad D. (2013) Vancomycin trough concentrations in overweight or obese pediatric patients. </w:t>
      </w:r>
      <w:r w:rsidRPr="00AB7588">
        <w:rPr>
          <w:rFonts w:ascii="Times New Roman" w:eastAsia="Times New Roman" w:hAnsi="Times New Roman" w:cs="Times New Roman"/>
          <w:i/>
          <w:iCs/>
          <w:color w:val="000000"/>
          <w:sz w:val="25"/>
          <w:szCs w:val="25"/>
        </w:rPr>
        <w:t>Pharmacotherapy</w:t>
      </w:r>
      <w:r w:rsidRPr="00AB7588">
        <w:rPr>
          <w:rFonts w:ascii="Times New Roman" w:eastAsia="Times New Roman" w:hAnsi="Times New Roman" w:cs="Times New Roman"/>
          <w:color w:val="000000"/>
          <w:sz w:val="25"/>
          <w:szCs w:val="25"/>
        </w:rPr>
        <w:t> 33: 1273–1277. [</w:t>
      </w:r>
      <w:hyperlink r:id="rId214"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15"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Hidayat L., Hsu D., Quist R., Shriner K., Wong-Beringer A. (2006) High-dose vancomycin therapy for methicillin-resistant Staphylococcus aureus infections: efficacy and toxicity. </w:t>
      </w:r>
      <w:r w:rsidRPr="00AB7588">
        <w:rPr>
          <w:rFonts w:ascii="Times New Roman" w:eastAsia="Times New Roman" w:hAnsi="Times New Roman" w:cs="Times New Roman"/>
          <w:i/>
          <w:iCs/>
          <w:color w:val="000000"/>
          <w:sz w:val="25"/>
          <w:szCs w:val="25"/>
        </w:rPr>
        <w:t>Arch Intern Med</w:t>
      </w:r>
      <w:r w:rsidRPr="00AB7588">
        <w:rPr>
          <w:rFonts w:ascii="Times New Roman" w:eastAsia="Times New Roman" w:hAnsi="Times New Roman" w:cs="Times New Roman"/>
          <w:color w:val="000000"/>
          <w:sz w:val="25"/>
          <w:szCs w:val="25"/>
        </w:rPr>
        <w:t> 166: 2138–2144. [</w:t>
      </w:r>
      <w:hyperlink r:id="rId216"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17"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Hong L., Goolsby T., Sherman D., Mueller S., Reynolds P., Cava L., et al. (2015) Continuous infusion vs intermittent vancomycin in neurosurgical intensive care unit patients. </w:t>
      </w:r>
      <w:r w:rsidRPr="00AB7588">
        <w:rPr>
          <w:rFonts w:ascii="Times New Roman" w:eastAsia="Times New Roman" w:hAnsi="Times New Roman" w:cs="Times New Roman"/>
          <w:i/>
          <w:iCs/>
          <w:color w:val="000000"/>
          <w:sz w:val="25"/>
          <w:szCs w:val="25"/>
        </w:rPr>
        <w:t>J Crit Care</w:t>
      </w:r>
      <w:r w:rsidRPr="00AB7588">
        <w:rPr>
          <w:rFonts w:ascii="Times New Roman" w:eastAsia="Times New Roman" w:hAnsi="Times New Roman" w:cs="Times New Roman"/>
          <w:color w:val="000000"/>
          <w:sz w:val="25"/>
          <w:szCs w:val="25"/>
        </w:rPr>
        <w:t xml:space="preserve"> pii: S0883–9441 00354–8. </w:t>
      </w:r>
      <w:proofErr w:type="gramStart"/>
      <w:r w:rsidRPr="00AB7588">
        <w:rPr>
          <w:rFonts w:ascii="Times New Roman" w:eastAsia="Times New Roman" w:hAnsi="Times New Roman" w:cs="Times New Roman"/>
          <w:color w:val="000000"/>
          <w:sz w:val="25"/>
          <w:szCs w:val="25"/>
        </w:rPr>
        <w:t>doi</w:t>
      </w:r>
      <w:proofErr w:type="gramEnd"/>
      <w:r w:rsidRPr="00AB7588">
        <w:rPr>
          <w:rFonts w:ascii="Times New Roman" w:eastAsia="Times New Roman" w:hAnsi="Times New Roman" w:cs="Times New Roman"/>
          <w:color w:val="000000"/>
          <w:sz w:val="25"/>
          <w:szCs w:val="25"/>
        </w:rPr>
        <w:t>: 10.1016/j.jcrc.2015.06.012. [</w:t>
      </w:r>
      <w:hyperlink r:id="rId218"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19" w:tgtFrame="_blank" w:history="1">
        <w:r w:rsidRPr="00AB7588">
          <w:rPr>
            <w:rFonts w:ascii="Times New Roman" w:eastAsia="Times New Roman" w:hAnsi="Times New Roman" w:cs="Times New Roman"/>
            <w:color w:val="2F4A8B"/>
            <w:sz w:val="25"/>
            <w:szCs w:val="25"/>
            <w:u w:val="single"/>
          </w:rPr>
          <w:t>CrossRef</w:t>
        </w:r>
      </w:hyperlink>
      <w:r w:rsidRPr="00AB7588">
        <w:rPr>
          <w:rFonts w:ascii="Times New Roman" w:eastAsia="Times New Roman" w:hAnsi="Times New Roman" w:cs="Times New Roman"/>
          <w:color w:val="000000"/>
          <w:sz w:val="25"/>
          <w:szCs w:val="25"/>
        </w:rPr>
        <w:t>] [</w:t>
      </w:r>
      <w:hyperlink r:id="rId22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Hong S., Valderrama E., Mattana J., Shah H., Wagner J., Esposito M., et al. (2007) Vancomycin-induced acute granulomatous interstitial nephritis: therapeutic options. </w:t>
      </w:r>
      <w:r w:rsidRPr="00AB7588">
        <w:rPr>
          <w:rFonts w:ascii="Times New Roman" w:eastAsia="Times New Roman" w:hAnsi="Times New Roman" w:cs="Times New Roman"/>
          <w:i/>
          <w:iCs/>
          <w:color w:val="000000"/>
          <w:sz w:val="25"/>
          <w:szCs w:val="25"/>
        </w:rPr>
        <w:t>Am J Med Sci</w:t>
      </w:r>
      <w:r w:rsidRPr="00AB7588">
        <w:rPr>
          <w:rFonts w:ascii="Times New Roman" w:eastAsia="Times New Roman" w:hAnsi="Times New Roman" w:cs="Times New Roman"/>
          <w:color w:val="000000"/>
          <w:sz w:val="25"/>
          <w:szCs w:val="25"/>
        </w:rPr>
        <w:t> 334: 296–</w:t>
      </w:r>
      <w:proofErr w:type="gramStart"/>
      <w:r w:rsidRPr="00AB7588">
        <w:rPr>
          <w:rFonts w:ascii="Times New Roman" w:eastAsia="Times New Roman" w:hAnsi="Times New Roman" w:cs="Times New Roman"/>
          <w:color w:val="000000"/>
          <w:sz w:val="25"/>
          <w:szCs w:val="25"/>
        </w:rPr>
        <w:t>300.</w:t>
      </w:r>
      <w:proofErr w:type="gramEnd"/>
      <w:r w:rsidRPr="00AB7588">
        <w:rPr>
          <w:rFonts w:ascii="Times New Roman" w:eastAsia="Times New Roman" w:hAnsi="Times New Roman" w:cs="Times New Roman"/>
          <w:color w:val="000000"/>
          <w:sz w:val="25"/>
          <w:szCs w:val="25"/>
        </w:rPr>
        <w:t xml:space="preserve"> [</w:t>
      </w:r>
      <w:hyperlink r:id="rId221"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22"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Horey A., Mergenhagen K., Mattappallil A. (2012) </w:t>
      </w:r>
      <w:proofErr w:type="gramStart"/>
      <w:r w:rsidRPr="00AB7588">
        <w:rPr>
          <w:rFonts w:ascii="Times New Roman" w:eastAsia="Times New Roman" w:hAnsi="Times New Roman" w:cs="Times New Roman"/>
          <w:color w:val="000000"/>
          <w:sz w:val="25"/>
          <w:szCs w:val="25"/>
        </w:rPr>
        <w:t>The</w:t>
      </w:r>
      <w:proofErr w:type="gramEnd"/>
      <w:r w:rsidRPr="00AB7588">
        <w:rPr>
          <w:rFonts w:ascii="Times New Roman" w:eastAsia="Times New Roman" w:hAnsi="Times New Roman" w:cs="Times New Roman"/>
          <w:color w:val="000000"/>
          <w:sz w:val="25"/>
          <w:szCs w:val="25"/>
        </w:rPr>
        <w:t xml:space="preserve"> relationship of nephrotoxicity to vancomycin trough serum concentrations in a veteran’s population: a retrospective analysis. </w:t>
      </w:r>
      <w:r w:rsidRPr="00AB7588">
        <w:rPr>
          <w:rFonts w:ascii="Times New Roman" w:eastAsia="Times New Roman" w:hAnsi="Times New Roman" w:cs="Times New Roman"/>
          <w:i/>
          <w:iCs/>
          <w:color w:val="000000"/>
          <w:sz w:val="25"/>
          <w:szCs w:val="25"/>
        </w:rPr>
        <w:t>Ann Pharmacother</w:t>
      </w:r>
      <w:r w:rsidRPr="00AB7588">
        <w:rPr>
          <w:rFonts w:ascii="Times New Roman" w:eastAsia="Times New Roman" w:hAnsi="Times New Roman" w:cs="Times New Roman"/>
          <w:color w:val="000000"/>
          <w:sz w:val="25"/>
          <w:szCs w:val="25"/>
        </w:rPr>
        <w:t> 46: 1477–1483. [</w:t>
      </w:r>
      <w:hyperlink r:id="rId223"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24"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Hoste E., Lameire N., Vanholder R., Benoit D., Decruyenaere J., Colardyn F. (2003) Acute renal failure in patients with sepsis in a surgical ICU: predictive factors, incidence, comorbidity, and outcome. </w:t>
      </w:r>
      <w:r w:rsidRPr="00AB7588">
        <w:rPr>
          <w:rFonts w:ascii="Times New Roman" w:eastAsia="Times New Roman" w:hAnsi="Times New Roman" w:cs="Times New Roman"/>
          <w:i/>
          <w:iCs/>
          <w:color w:val="000000"/>
          <w:sz w:val="25"/>
          <w:szCs w:val="25"/>
        </w:rPr>
        <w:t>J Am Soc Nephrol</w:t>
      </w:r>
      <w:r w:rsidRPr="00AB7588">
        <w:rPr>
          <w:rFonts w:ascii="Times New Roman" w:eastAsia="Times New Roman" w:hAnsi="Times New Roman" w:cs="Times New Roman"/>
          <w:color w:val="000000"/>
          <w:sz w:val="25"/>
          <w:szCs w:val="25"/>
        </w:rPr>
        <w:t> 14: 1022–1030. [</w:t>
      </w:r>
      <w:hyperlink r:id="rId225"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26"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Hsu R., McCulloch C., Heung M., Saran R., Shahinian V., Pavkov M., et al. (2016) Centers for Disease Control and Prevention Chronic Kidney Disease Surveillance Team. Exploring potential reasons for the temporal trend in dialysis-requiring AKI in the United States. </w:t>
      </w:r>
      <w:r w:rsidRPr="00AB7588">
        <w:rPr>
          <w:rFonts w:ascii="Times New Roman" w:eastAsia="Times New Roman" w:hAnsi="Times New Roman" w:cs="Times New Roman"/>
          <w:i/>
          <w:iCs/>
          <w:color w:val="000000"/>
          <w:sz w:val="25"/>
          <w:szCs w:val="25"/>
        </w:rPr>
        <w:t>Clin J Am Soc Nephrol</w:t>
      </w:r>
      <w:r w:rsidRPr="00AB7588">
        <w:rPr>
          <w:rFonts w:ascii="Times New Roman" w:eastAsia="Times New Roman" w:hAnsi="Times New Roman" w:cs="Times New Roman"/>
          <w:color w:val="000000"/>
          <w:sz w:val="25"/>
          <w:szCs w:val="25"/>
        </w:rPr>
        <w:t> 11: 14–20. [</w:t>
      </w:r>
      <w:hyperlink r:id="rId227"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28"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29"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Hsu S. (2001) Biopsy-proved acute tubulointerstitial nephritis and toxic epidermal necrolysis associated with vancomycin. </w:t>
      </w:r>
      <w:r w:rsidRPr="00AB7588">
        <w:rPr>
          <w:rFonts w:ascii="Times New Roman" w:eastAsia="Times New Roman" w:hAnsi="Times New Roman" w:cs="Times New Roman"/>
          <w:i/>
          <w:iCs/>
          <w:color w:val="000000"/>
          <w:sz w:val="25"/>
          <w:szCs w:val="25"/>
        </w:rPr>
        <w:t>Pharmacotherapy</w:t>
      </w:r>
      <w:r w:rsidRPr="00AB7588">
        <w:rPr>
          <w:rFonts w:ascii="Times New Roman" w:eastAsia="Times New Roman" w:hAnsi="Times New Roman" w:cs="Times New Roman"/>
          <w:color w:val="000000"/>
          <w:sz w:val="25"/>
          <w:szCs w:val="25"/>
        </w:rPr>
        <w:t> 21: 1233–1239. [</w:t>
      </w:r>
      <w:hyperlink r:id="rId230"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31"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Huang Y., Chen Y., Lai Y., Cheng C., Lin T., Su Y., et al. (2016) Resveratrol alleviates the cytotoxicity induced by the radiocontrast agent, ioxitalamate, by reducing the production of reactive oxygen species in HK-2 human renal proximal tubule epithelial cells in vitro. </w:t>
      </w:r>
      <w:r w:rsidRPr="00AB7588">
        <w:rPr>
          <w:rFonts w:ascii="Times New Roman" w:eastAsia="Times New Roman" w:hAnsi="Times New Roman" w:cs="Times New Roman"/>
          <w:i/>
          <w:iCs/>
          <w:color w:val="000000"/>
          <w:sz w:val="25"/>
          <w:szCs w:val="25"/>
        </w:rPr>
        <w:t>Int J Mol Med</w:t>
      </w:r>
      <w:r w:rsidRPr="00AB7588">
        <w:rPr>
          <w:rFonts w:ascii="Times New Roman" w:eastAsia="Times New Roman" w:hAnsi="Times New Roman" w:cs="Times New Roman"/>
          <w:color w:val="000000"/>
          <w:sz w:val="25"/>
          <w:szCs w:val="25"/>
        </w:rPr>
        <w:t> 37: 83–91. [</w:t>
      </w:r>
      <w:hyperlink r:id="rId232"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33"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34"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Humanes B., Jado J., Camaño S., López-Parra V., Torres A., Álvarez-Sala L., et al. (2015) Protective effects of cilastatin against vancomycin-induced nephrotoxicity. </w:t>
      </w:r>
      <w:r w:rsidRPr="00AB7588">
        <w:rPr>
          <w:rFonts w:ascii="Times New Roman" w:eastAsia="Times New Roman" w:hAnsi="Times New Roman" w:cs="Times New Roman"/>
          <w:i/>
          <w:iCs/>
          <w:color w:val="000000"/>
          <w:sz w:val="25"/>
          <w:szCs w:val="25"/>
        </w:rPr>
        <w:t>Biomed Res Int</w:t>
      </w:r>
      <w:r w:rsidRPr="00AB7588">
        <w:rPr>
          <w:rFonts w:ascii="Times New Roman" w:eastAsia="Times New Roman" w:hAnsi="Times New Roman" w:cs="Times New Roman"/>
          <w:color w:val="000000"/>
          <w:sz w:val="25"/>
          <w:szCs w:val="25"/>
        </w:rPr>
        <w:t xml:space="preserve"> 2015: 704382. </w:t>
      </w:r>
      <w:proofErr w:type="gramStart"/>
      <w:r w:rsidRPr="00AB7588">
        <w:rPr>
          <w:rFonts w:ascii="Times New Roman" w:eastAsia="Times New Roman" w:hAnsi="Times New Roman" w:cs="Times New Roman"/>
          <w:color w:val="000000"/>
          <w:sz w:val="25"/>
          <w:szCs w:val="25"/>
        </w:rPr>
        <w:t>doi</w:t>
      </w:r>
      <w:proofErr w:type="gramEnd"/>
      <w:r w:rsidRPr="00AB7588">
        <w:rPr>
          <w:rFonts w:ascii="Times New Roman" w:eastAsia="Times New Roman" w:hAnsi="Times New Roman" w:cs="Times New Roman"/>
          <w:color w:val="000000"/>
          <w:sz w:val="25"/>
          <w:szCs w:val="25"/>
        </w:rPr>
        <w:t>: 10.1155/2015/704382. [</w:t>
      </w:r>
      <w:hyperlink r:id="rId235"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36"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37" w:tgtFrame="_blank" w:history="1">
        <w:r w:rsidRPr="00AB7588">
          <w:rPr>
            <w:rFonts w:ascii="Times New Roman" w:eastAsia="Times New Roman" w:hAnsi="Times New Roman" w:cs="Times New Roman"/>
            <w:color w:val="2F4A8B"/>
            <w:sz w:val="25"/>
            <w:szCs w:val="25"/>
            <w:u w:val="single"/>
          </w:rPr>
          <w:t>CrossRef</w:t>
        </w:r>
      </w:hyperlink>
      <w:r w:rsidRPr="00AB7588">
        <w:rPr>
          <w:rFonts w:ascii="Times New Roman" w:eastAsia="Times New Roman" w:hAnsi="Times New Roman" w:cs="Times New Roman"/>
          <w:color w:val="000000"/>
          <w:sz w:val="25"/>
          <w:szCs w:val="25"/>
        </w:rPr>
        <w:t>] [</w:t>
      </w:r>
      <w:hyperlink r:id="rId238"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Klevens R., Edwards J., Andrus M., Peterson K., Dudeck M., Horan T. (2008) Dialysis surveillance report: National Healthcare Safety Network (NHSN)—data summary for 2006. </w:t>
      </w:r>
      <w:r w:rsidRPr="00AB7588">
        <w:rPr>
          <w:rFonts w:ascii="Times New Roman" w:eastAsia="Times New Roman" w:hAnsi="Times New Roman" w:cs="Times New Roman"/>
          <w:i/>
          <w:iCs/>
          <w:color w:val="000000"/>
          <w:sz w:val="25"/>
          <w:szCs w:val="25"/>
        </w:rPr>
        <w:t>Semin Dial</w:t>
      </w:r>
      <w:r w:rsidRPr="00AB7588">
        <w:rPr>
          <w:rFonts w:ascii="Times New Roman" w:eastAsia="Times New Roman" w:hAnsi="Times New Roman" w:cs="Times New Roman"/>
          <w:color w:val="000000"/>
          <w:sz w:val="25"/>
          <w:szCs w:val="25"/>
        </w:rPr>
        <w:t> 21: 24–28. [</w:t>
      </w:r>
      <w:hyperlink r:id="rId239"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4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Knoderer C., Gritzman A., Nichols K., Wilson A. (2015) Late-occurring vancomycin-associated acute kidney injury in children receiving prolonged therapy. </w:t>
      </w:r>
      <w:r w:rsidRPr="00AB7588">
        <w:rPr>
          <w:rFonts w:ascii="Times New Roman" w:eastAsia="Times New Roman" w:hAnsi="Times New Roman" w:cs="Times New Roman"/>
          <w:i/>
          <w:iCs/>
          <w:color w:val="000000"/>
          <w:sz w:val="25"/>
          <w:szCs w:val="25"/>
        </w:rPr>
        <w:t>Ann Pharmacother</w:t>
      </w:r>
      <w:r w:rsidRPr="00AB7588">
        <w:rPr>
          <w:rFonts w:ascii="Times New Roman" w:eastAsia="Times New Roman" w:hAnsi="Times New Roman" w:cs="Times New Roman"/>
          <w:color w:val="000000"/>
          <w:sz w:val="25"/>
          <w:szCs w:val="25"/>
        </w:rPr>
        <w:t> 49: 1113–1119. [</w:t>
      </w:r>
      <w:hyperlink r:id="rId241"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42"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Kullar R., Leonard S., Davis S., Delgado G., Jr, Pogue J., Wahby K., et al. (2011) Validation of the effectiveness of a vancomycin nomogram in achieving target trough concentrations of 15–20 mg/L suggested by the vancomycin consensus guidelines. </w:t>
      </w:r>
      <w:r w:rsidRPr="00AB7588">
        <w:rPr>
          <w:rFonts w:ascii="Times New Roman" w:eastAsia="Times New Roman" w:hAnsi="Times New Roman" w:cs="Times New Roman"/>
          <w:i/>
          <w:iCs/>
          <w:color w:val="000000"/>
          <w:sz w:val="25"/>
          <w:szCs w:val="25"/>
        </w:rPr>
        <w:t>Pharmacotherapy</w:t>
      </w:r>
      <w:r w:rsidRPr="00AB7588">
        <w:rPr>
          <w:rFonts w:ascii="Times New Roman" w:eastAsia="Times New Roman" w:hAnsi="Times New Roman" w:cs="Times New Roman"/>
          <w:color w:val="000000"/>
          <w:sz w:val="25"/>
          <w:szCs w:val="25"/>
        </w:rPr>
        <w:t> 31: 441–448. [</w:t>
      </w:r>
      <w:hyperlink r:id="rId243"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44"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Le J., Capparelli E., Wahid U., Wu Y., Romanowski G., Tran T., et al. (2015) Bayesian estimation of vancomycin pharmacokinetics in obese children: matched case-control study. </w:t>
      </w:r>
      <w:r w:rsidRPr="00AB7588">
        <w:rPr>
          <w:rFonts w:ascii="Times New Roman" w:eastAsia="Times New Roman" w:hAnsi="Times New Roman" w:cs="Times New Roman"/>
          <w:i/>
          <w:iCs/>
          <w:color w:val="000000"/>
          <w:sz w:val="25"/>
          <w:szCs w:val="25"/>
        </w:rPr>
        <w:t>Clin Ther</w:t>
      </w:r>
      <w:r w:rsidRPr="00AB7588">
        <w:rPr>
          <w:rFonts w:ascii="Times New Roman" w:eastAsia="Times New Roman" w:hAnsi="Times New Roman" w:cs="Times New Roman"/>
          <w:color w:val="000000"/>
          <w:sz w:val="25"/>
          <w:szCs w:val="25"/>
        </w:rPr>
        <w:t> 37: 1340–1351. [</w:t>
      </w:r>
      <w:hyperlink r:id="rId245"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46"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47"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Lodise T., Lomaestro B., Graves J., Drusano G. (2008) </w:t>
      </w:r>
      <w:proofErr w:type="gramStart"/>
      <w:r w:rsidRPr="00AB7588">
        <w:rPr>
          <w:rFonts w:ascii="Times New Roman" w:eastAsia="Times New Roman" w:hAnsi="Times New Roman" w:cs="Times New Roman"/>
          <w:color w:val="000000"/>
          <w:sz w:val="25"/>
          <w:szCs w:val="25"/>
        </w:rPr>
        <w:t>Larger</w:t>
      </w:r>
      <w:proofErr w:type="gramEnd"/>
      <w:r w:rsidRPr="00AB7588">
        <w:rPr>
          <w:rFonts w:ascii="Times New Roman" w:eastAsia="Times New Roman" w:hAnsi="Times New Roman" w:cs="Times New Roman"/>
          <w:color w:val="000000"/>
          <w:sz w:val="25"/>
          <w:szCs w:val="25"/>
        </w:rPr>
        <w:t xml:space="preserve"> vancomycin doses (at least four grams per day) are associated with an increased incidence of nephrotoxicity. </w:t>
      </w:r>
      <w:r w:rsidRPr="00AB7588">
        <w:rPr>
          <w:rFonts w:ascii="Times New Roman" w:eastAsia="Times New Roman" w:hAnsi="Times New Roman" w:cs="Times New Roman"/>
          <w:i/>
          <w:iCs/>
          <w:color w:val="000000"/>
          <w:sz w:val="25"/>
          <w:szCs w:val="25"/>
        </w:rPr>
        <w:t>Antimicrob Agents Chemother</w:t>
      </w:r>
      <w:r w:rsidRPr="00AB7588">
        <w:rPr>
          <w:rFonts w:ascii="Times New Roman" w:eastAsia="Times New Roman" w:hAnsi="Times New Roman" w:cs="Times New Roman"/>
          <w:color w:val="000000"/>
          <w:sz w:val="25"/>
          <w:szCs w:val="25"/>
        </w:rPr>
        <w:t> 52: 1330–1336. [</w:t>
      </w:r>
      <w:hyperlink r:id="rId248"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49"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5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 xml:space="preserve">Lopes J., Jorge S. (2013) The RIFLE and </w:t>
      </w:r>
      <w:proofErr w:type="gramStart"/>
      <w:r w:rsidRPr="00AB7588">
        <w:rPr>
          <w:rFonts w:ascii="Times New Roman" w:eastAsia="Times New Roman" w:hAnsi="Times New Roman" w:cs="Times New Roman"/>
          <w:color w:val="000000"/>
          <w:sz w:val="25"/>
          <w:szCs w:val="25"/>
        </w:rPr>
        <w:t>AKIN</w:t>
      </w:r>
      <w:proofErr w:type="gramEnd"/>
      <w:r w:rsidRPr="00AB7588">
        <w:rPr>
          <w:rFonts w:ascii="Times New Roman" w:eastAsia="Times New Roman" w:hAnsi="Times New Roman" w:cs="Times New Roman"/>
          <w:color w:val="000000"/>
          <w:sz w:val="25"/>
          <w:szCs w:val="25"/>
        </w:rPr>
        <w:t xml:space="preserve"> classifications for acute kidney injury: a critical and comprehensive review. </w:t>
      </w:r>
      <w:r w:rsidRPr="00AB7588">
        <w:rPr>
          <w:rFonts w:ascii="Times New Roman" w:eastAsia="Times New Roman" w:hAnsi="Times New Roman" w:cs="Times New Roman"/>
          <w:i/>
          <w:iCs/>
          <w:color w:val="000000"/>
          <w:sz w:val="25"/>
          <w:szCs w:val="25"/>
        </w:rPr>
        <w:t>Clin Kidney J</w:t>
      </w:r>
      <w:r w:rsidRPr="00AB7588">
        <w:rPr>
          <w:rFonts w:ascii="Times New Roman" w:eastAsia="Times New Roman" w:hAnsi="Times New Roman" w:cs="Times New Roman"/>
          <w:color w:val="000000"/>
          <w:sz w:val="25"/>
          <w:szCs w:val="25"/>
        </w:rPr>
        <w:t> 6: 8–14. [</w:t>
      </w:r>
      <w:hyperlink r:id="rId251"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52"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53"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Matson K., Shaffer C., Beck G., Simonsen K. (2015) Assessment of initial serum vancomycin trough concentrations and their association with initial empirical weight-based vancomycin dosing and development of nephrotoxicity in children: a multicenter retrospective study. </w:t>
      </w:r>
      <w:r w:rsidRPr="00AB7588">
        <w:rPr>
          <w:rFonts w:ascii="Times New Roman" w:eastAsia="Times New Roman" w:hAnsi="Times New Roman" w:cs="Times New Roman"/>
          <w:i/>
          <w:iCs/>
          <w:color w:val="000000"/>
          <w:sz w:val="25"/>
          <w:szCs w:val="25"/>
        </w:rPr>
        <w:t>Pharmacotherapy</w:t>
      </w:r>
      <w:r w:rsidRPr="00AB7588">
        <w:rPr>
          <w:rFonts w:ascii="Times New Roman" w:eastAsia="Times New Roman" w:hAnsi="Times New Roman" w:cs="Times New Roman"/>
          <w:color w:val="000000"/>
          <w:sz w:val="25"/>
          <w:szCs w:val="25"/>
        </w:rPr>
        <w:t> 35: 337–343. [</w:t>
      </w:r>
      <w:hyperlink r:id="rId254"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55"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 xml:space="preserve">Mehta R., Kellum J., Shah S., Molitoris B., Ronco C., Warnock D., et al. (2007) Acute Kidney Injury Network. Report of an initiative to improve outcomes </w:t>
      </w:r>
      <w:bookmarkStart w:id="0" w:name="_GoBack"/>
      <w:r w:rsidRPr="00AB7588">
        <w:rPr>
          <w:rFonts w:ascii="Times New Roman" w:eastAsia="Times New Roman" w:hAnsi="Times New Roman" w:cs="Times New Roman"/>
          <w:color w:val="000000"/>
          <w:sz w:val="25"/>
          <w:szCs w:val="25"/>
        </w:rPr>
        <w:t xml:space="preserve">in </w:t>
      </w:r>
      <w:bookmarkEnd w:id="0"/>
      <w:r w:rsidRPr="00AB7588">
        <w:rPr>
          <w:rFonts w:ascii="Times New Roman" w:eastAsia="Times New Roman" w:hAnsi="Times New Roman" w:cs="Times New Roman"/>
          <w:color w:val="000000"/>
          <w:sz w:val="25"/>
          <w:szCs w:val="25"/>
        </w:rPr>
        <w:t>acute kidney injury. </w:t>
      </w:r>
      <w:r w:rsidRPr="00AB7588">
        <w:rPr>
          <w:rFonts w:ascii="Times New Roman" w:eastAsia="Times New Roman" w:hAnsi="Times New Roman" w:cs="Times New Roman"/>
          <w:i/>
          <w:iCs/>
          <w:color w:val="000000"/>
          <w:sz w:val="25"/>
          <w:szCs w:val="25"/>
        </w:rPr>
        <w:t>Crit Care</w:t>
      </w:r>
      <w:r w:rsidRPr="00AB7588">
        <w:rPr>
          <w:rFonts w:ascii="Times New Roman" w:eastAsia="Times New Roman" w:hAnsi="Times New Roman" w:cs="Times New Roman"/>
          <w:color w:val="000000"/>
          <w:sz w:val="25"/>
          <w:szCs w:val="25"/>
        </w:rPr>
        <w:t> 11: R31. [</w:t>
      </w:r>
      <w:hyperlink r:id="rId256"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57"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58"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Mohammedi I., Descloux E., Argaud L., Le Scanff J., Robert D. (2006) Loading dose of vancomycin in critically ill patients: 15 mg/kg is a better choice than 500 mg. </w:t>
      </w:r>
      <w:r w:rsidRPr="00AB7588">
        <w:rPr>
          <w:rFonts w:ascii="Times New Roman" w:eastAsia="Times New Roman" w:hAnsi="Times New Roman" w:cs="Times New Roman"/>
          <w:i/>
          <w:iCs/>
          <w:color w:val="000000"/>
          <w:sz w:val="25"/>
          <w:szCs w:val="25"/>
        </w:rPr>
        <w:t>Int J Antimicrob Agents</w:t>
      </w:r>
      <w:r w:rsidRPr="00AB7588">
        <w:rPr>
          <w:rFonts w:ascii="Times New Roman" w:eastAsia="Times New Roman" w:hAnsi="Times New Roman" w:cs="Times New Roman"/>
          <w:color w:val="000000"/>
          <w:sz w:val="25"/>
          <w:szCs w:val="25"/>
        </w:rPr>
        <w:t> 27: 259–262. [</w:t>
      </w:r>
      <w:hyperlink r:id="rId259"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6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Moise P., Forrest A., Bhavnani S., Birmingham M., Schentag J. (2000) Area under the inhibitory curve and a pneumonia scoring system for predicting outcomes of vancomycin therapy for respiratory infections by Staphylococcus aureus. </w:t>
      </w:r>
      <w:r w:rsidRPr="00AB7588">
        <w:rPr>
          <w:rFonts w:ascii="Times New Roman" w:eastAsia="Times New Roman" w:hAnsi="Times New Roman" w:cs="Times New Roman"/>
          <w:i/>
          <w:iCs/>
          <w:color w:val="000000"/>
          <w:sz w:val="25"/>
          <w:szCs w:val="25"/>
        </w:rPr>
        <w:t>Am J Health Syst Pharm</w:t>
      </w:r>
      <w:r w:rsidRPr="00AB7588">
        <w:rPr>
          <w:rFonts w:ascii="Times New Roman" w:eastAsia="Times New Roman" w:hAnsi="Times New Roman" w:cs="Times New Roman"/>
          <w:color w:val="000000"/>
          <w:sz w:val="25"/>
          <w:szCs w:val="25"/>
        </w:rPr>
        <w:t> 57(Suppl. 2): 4–9. [</w:t>
      </w:r>
      <w:hyperlink r:id="rId261"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62"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Naghibi B., Ghafghazi T., Hajhashemi V., Talebi A., Taheri D. (2007) The effect of 2</w:t>
      </w:r>
      <w:proofErr w:type="gramStart"/>
      <w:r w:rsidRPr="00AB7588">
        <w:rPr>
          <w:rFonts w:ascii="Times New Roman" w:eastAsia="Times New Roman" w:hAnsi="Times New Roman" w:cs="Times New Roman"/>
          <w:color w:val="000000"/>
          <w:sz w:val="25"/>
          <w:szCs w:val="25"/>
        </w:rPr>
        <w:t>,3</w:t>
      </w:r>
      <w:proofErr w:type="gramEnd"/>
      <w:r w:rsidRPr="00AB7588">
        <w:rPr>
          <w:rFonts w:ascii="Times New Roman" w:eastAsia="Times New Roman" w:hAnsi="Times New Roman" w:cs="Times New Roman"/>
          <w:color w:val="000000"/>
          <w:sz w:val="25"/>
          <w:szCs w:val="25"/>
        </w:rPr>
        <w:t>-dihydroxybenzoic acid and Tempol in prevention of vancomycin-induced nephrotoxicity in rats. </w:t>
      </w:r>
      <w:r w:rsidRPr="00AB7588">
        <w:rPr>
          <w:rFonts w:ascii="Times New Roman" w:eastAsia="Times New Roman" w:hAnsi="Times New Roman" w:cs="Times New Roman"/>
          <w:i/>
          <w:iCs/>
          <w:color w:val="000000"/>
          <w:sz w:val="25"/>
          <w:szCs w:val="25"/>
        </w:rPr>
        <w:t>Toxicology</w:t>
      </w:r>
      <w:r w:rsidRPr="00AB7588">
        <w:rPr>
          <w:rFonts w:ascii="Times New Roman" w:eastAsia="Times New Roman" w:hAnsi="Times New Roman" w:cs="Times New Roman"/>
          <w:color w:val="000000"/>
          <w:sz w:val="25"/>
          <w:szCs w:val="25"/>
        </w:rPr>
        <w:t> 232: 192–199. [</w:t>
      </w:r>
      <w:hyperlink r:id="rId263"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64"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Nahata M. (1987) Lack of nephrotoxicity in pediatric patients receiving concurrent vancomycin and aminoglycoside therapy. </w:t>
      </w:r>
      <w:r w:rsidRPr="00AB7588">
        <w:rPr>
          <w:rFonts w:ascii="Times New Roman" w:eastAsia="Times New Roman" w:hAnsi="Times New Roman" w:cs="Times New Roman"/>
          <w:i/>
          <w:iCs/>
          <w:color w:val="000000"/>
          <w:sz w:val="25"/>
          <w:szCs w:val="25"/>
        </w:rPr>
        <w:t>Chemotherapy</w:t>
      </w:r>
      <w:r w:rsidRPr="00AB7588">
        <w:rPr>
          <w:rFonts w:ascii="Times New Roman" w:eastAsia="Times New Roman" w:hAnsi="Times New Roman" w:cs="Times New Roman"/>
          <w:color w:val="000000"/>
          <w:sz w:val="25"/>
          <w:szCs w:val="25"/>
        </w:rPr>
        <w:t> 33: 302–304. [</w:t>
      </w:r>
      <w:hyperlink r:id="rId265"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66"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Neely M., Youn G., Jones B., Jelliffe R., Drusano G., Rodvold K., et al. (2014) Are vancomycin trough concentrations adequate for optimal dosing? </w:t>
      </w:r>
      <w:r w:rsidRPr="00AB7588">
        <w:rPr>
          <w:rFonts w:ascii="Times New Roman" w:eastAsia="Times New Roman" w:hAnsi="Times New Roman" w:cs="Times New Roman"/>
          <w:i/>
          <w:iCs/>
          <w:color w:val="000000"/>
          <w:sz w:val="25"/>
          <w:szCs w:val="25"/>
        </w:rPr>
        <w:t>Antimicrob Agents Chemother</w:t>
      </w:r>
      <w:r w:rsidRPr="00AB7588">
        <w:rPr>
          <w:rFonts w:ascii="Times New Roman" w:eastAsia="Times New Roman" w:hAnsi="Times New Roman" w:cs="Times New Roman"/>
          <w:color w:val="000000"/>
          <w:sz w:val="25"/>
          <w:szCs w:val="25"/>
        </w:rPr>
        <w:t> 58: 309–316. [</w:t>
      </w:r>
      <w:hyperlink r:id="rId267"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68"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69"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Ngeleka M., Auclair P., Tardif D., Beauchamp D., Bergeron M. (1989) Intrarenal distribution of vancomycin in endotoxemic rats. </w:t>
      </w:r>
      <w:r w:rsidRPr="00AB7588">
        <w:rPr>
          <w:rFonts w:ascii="Times New Roman" w:eastAsia="Times New Roman" w:hAnsi="Times New Roman" w:cs="Times New Roman"/>
          <w:i/>
          <w:iCs/>
          <w:color w:val="000000"/>
          <w:sz w:val="25"/>
          <w:szCs w:val="25"/>
        </w:rPr>
        <w:t>Antimicrob Agents Chemother</w:t>
      </w:r>
      <w:r w:rsidRPr="00AB7588">
        <w:rPr>
          <w:rFonts w:ascii="Times New Roman" w:eastAsia="Times New Roman" w:hAnsi="Times New Roman" w:cs="Times New Roman"/>
          <w:color w:val="000000"/>
          <w:sz w:val="25"/>
          <w:szCs w:val="25"/>
        </w:rPr>
        <w:t> 33: 1575–1579. [</w:t>
      </w:r>
      <w:hyperlink r:id="rId270"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71"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72"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Nishino Y., Takemura S., Minamiyama Y., Hirohashi K., Ogino T., Inoue M., et al. (2003) Targeting superoxide dismutase to renal proximal tubule cells attenuates vancomycin-induced nephrotoxicity in rats. </w:t>
      </w:r>
      <w:r w:rsidRPr="00AB7588">
        <w:rPr>
          <w:rFonts w:ascii="Times New Roman" w:eastAsia="Times New Roman" w:hAnsi="Times New Roman" w:cs="Times New Roman"/>
          <w:i/>
          <w:iCs/>
          <w:color w:val="000000"/>
          <w:sz w:val="25"/>
          <w:szCs w:val="25"/>
        </w:rPr>
        <w:t>Free Radic Res</w:t>
      </w:r>
      <w:r w:rsidRPr="00AB7588">
        <w:rPr>
          <w:rFonts w:ascii="Times New Roman" w:eastAsia="Times New Roman" w:hAnsi="Times New Roman" w:cs="Times New Roman"/>
          <w:color w:val="000000"/>
          <w:sz w:val="25"/>
          <w:szCs w:val="25"/>
        </w:rPr>
        <w:t> 37: 373–379. [</w:t>
      </w:r>
      <w:hyperlink r:id="rId273"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74"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Ocak S., Gorur S., Hakverdi S., Celik S., Erdogan S. (2007) Protective effects of caffeic acid phenethyl ester, vitamin C, vitamin E and N-acetylcysteine on vancomycin-induced nephrotoxicity in rats. </w:t>
      </w:r>
      <w:r w:rsidRPr="00AB7588">
        <w:rPr>
          <w:rFonts w:ascii="Times New Roman" w:eastAsia="Times New Roman" w:hAnsi="Times New Roman" w:cs="Times New Roman"/>
          <w:i/>
          <w:iCs/>
          <w:color w:val="000000"/>
          <w:sz w:val="25"/>
          <w:szCs w:val="25"/>
        </w:rPr>
        <w:t>Basic Clin Pharmacol Toxicol</w:t>
      </w:r>
      <w:r w:rsidRPr="00AB7588">
        <w:rPr>
          <w:rFonts w:ascii="Times New Roman" w:eastAsia="Times New Roman" w:hAnsi="Times New Roman" w:cs="Times New Roman"/>
          <w:color w:val="000000"/>
          <w:sz w:val="25"/>
          <w:szCs w:val="25"/>
        </w:rPr>
        <w:t> 100: 328–333. [</w:t>
      </w:r>
      <w:hyperlink r:id="rId275"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76"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Oktem F., Arslan M., Ozguner F., Candir O., Yilmaz H., Ciris M., et al. (2005) In vivo evidences suggesting the role of oxidative stress in pathogenesis of vancomycin-induced nephrotoxicity: protection by erdosteine. </w:t>
      </w:r>
      <w:r w:rsidRPr="00AB7588">
        <w:rPr>
          <w:rFonts w:ascii="Times New Roman" w:eastAsia="Times New Roman" w:hAnsi="Times New Roman" w:cs="Times New Roman"/>
          <w:i/>
          <w:iCs/>
          <w:color w:val="000000"/>
          <w:sz w:val="25"/>
          <w:szCs w:val="25"/>
        </w:rPr>
        <w:t>Toxicology</w:t>
      </w:r>
      <w:r w:rsidRPr="00AB7588">
        <w:rPr>
          <w:rFonts w:ascii="Times New Roman" w:eastAsia="Times New Roman" w:hAnsi="Times New Roman" w:cs="Times New Roman"/>
          <w:color w:val="000000"/>
          <w:sz w:val="25"/>
          <w:szCs w:val="25"/>
        </w:rPr>
        <w:t> 215: 227–233. [</w:t>
      </w:r>
      <w:hyperlink r:id="rId277"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78"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Okusa M., Rosner M., Kellum J., Ronco C. (2016) Acute Dialysis Quality Initiative XIII Workgroup. Therapeutic targets of human AKI: harmonizing human and animal AKI. </w:t>
      </w:r>
      <w:r w:rsidRPr="00AB7588">
        <w:rPr>
          <w:rFonts w:ascii="Times New Roman" w:eastAsia="Times New Roman" w:hAnsi="Times New Roman" w:cs="Times New Roman"/>
          <w:i/>
          <w:iCs/>
          <w:color w:val="000000"/>
          <w:sz w:val="25"/>
          <w:szCs w:val="25"/>
        </w:rPr>
        <w:t>J Am Soc Nephrol</w:t>
      </w:r>
      <w:r w:rsidRPr="00AB7588">
        <w:rPr>
          <w:rFonts w:ascii="Times New Roman" w:eastAsia="Times New Roman" w:hAnsi="Times New Roman" w:cs="Times New Roman"/>
          <w:color w:val="000000"/>
          <w:sz w:val="25"/>
          <w:szCs w:val="25"/>
        </w:rPr>
        <w:t> 27: 44–48. [</w:t>
      </w:r>
      <w:hyperlink r:id="rId279"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80"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81"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Pai A., Pai M. (2006) Optimizing antimicrobial therapy for gram-positive bloodstream infections in patients on hemodialysis. </w:t>
      </w:r>
      <w:r w:rsidRPr="00AB7588">
        <w:rPr>
          <w:rFonts w:ascii="Times New Roman" w:eastAsia="Times New Roman" w:hAnsi="Times New Roman" w:cs="Times New Roman"/>
          <w:i/>
          <w:iCs/>
          <w:color w:val="000000"/>
          <w:sz w:val="25"/>
          <w:szCs w:val="25"/>
        </w:rPr>
        <w:t>Adv Chronic Kidney Dis</w:t>
      </w:r>
      <w:r w:rsidRPr="00AB7588">
        <w:rPr>
          <w:rFonts w:ascii="Times New Roman" w:eastAsia="Times New Roman" w:hAnsi="Times New Roman" w:cs="Times New Roman"/>
          <w:color w:val="000000"/>
          <w:sz w:val="25"/>
          <w:szCs w:val="25"/>
        </w:rPr>
        <w:t> 13: 259–270. [</w:t>
      </w:r>
      <w:hyperlink r:id="rId282"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83"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Panwar B., Johnson V., Patel M., Balkovetz D. (2013) Risk of vancomycin-induced nephrotoxicity in the population with chronic kidney disease. </w:t>
      </w:r>
      <w:r w:rsidRPr="00AB7588">
        <w:rPr>
          <w:rFonts w:ascii="Times New Roman" w:eastAsia="Times New Roman" w:hAnsi="Times New Roman" w:cs="Times New Roman"/>
          <w:i/>
          <w:iCs/>
          <w:color w:val="000000"/>
          <w:sz w:val="25"/>
          <w:szCs w:val="25"/>
        </w:rPr>
        <w:t>Am J Med Sci</w:t>
      </w:r>
      <w:r w:rsidRPr="00AB7588">
        <w:rPr>
          <w:rFonts w:ascii="Times New Roman" w:eastAsia="Times New Roman" w:hAnsi="Times New Roman" w:cs="Times New Roman"/>
          <w:color w:val="000000"/>
          <w:sz w:val="25"/>
          <w:szCs w:val="25"/>
        </w:rPr>
        <w:t> 345: 396–</w:t>
      </w:r>
      <w:proofErr w:type="gramStart"/>
      <w:r w:rsidRPr="00AB7588">
        <w:rPr>
          <w:rFonts w:ascii="Times New Roman" w:eastAsia="Times New Roman" w:hAnsi="Times New Roman" w:cs="Times New Roman"/>
          <w:color w:val="000000"/>
          <w:sz w:val="25"/>
          <w:szCs w:val="25"/>
        </w:rPr>
        <w:t>399.</w:t>
      </w:r>
      <w:proofErr w:type="gramEnd"/>
      <w:r w:rsidRPr="00AB7588">
        <w:rPr>
          <w:rFonts w:ascii="Times New Roman" w:eastAsia="Times New Roman" w:hAnsi="Times New Roman" w:cs="Times New Roman"/>
          <w:color w:val="000000"/>
          <w:sz w:val="25"/>
          <w:szCs w:val="25"/>
        </w:rPr>
        <w:t xml:space="preserve"> [</w:t>
      </w:r>
      <w:hyperlink r:id="rId284"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85"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Paquette F., Bernier-Jean A., Brunette V., Ammann H., Lavergne V., Pichette V., et al. (2015) Acute kidney injury and renal recovery with the use of aminoglycosides: a large retrospective study. </w:t>
      </w:r>
      <w:r w:rsidRPr="00AB7588">
        <w:rPr>
          <w:rFonts w:ascii="Times New Roman" w:eastAsia="Times New Roman" w:hAnsi="Times New Roman" w:cs="Times New Roman"/>
          <w:i/>
          <w:iCs/>
          <w:color w:val="000000"/>
          <w:sz w:val="25"/>
          <w:szCs w:val="25"/>
        </w:rPr>
        <w:t>Nephron</w:t>
      </w:r>
      <w:r w:rsidRPr="00AB7588">
        <w:rPr>
          <w:rFonts w:ascii="Times New Roman" w:eastAsia="Times New Roman" w:hAnsi="Times New Roman" w:cs="Times New Roman"/>
          <w:color w:val="000000"/>
          <w:sz w:val="25"/>
          <w:szCs w:val="25"/>
        </w:rPr>
        <w:t> 131: 153–160. [</w:t>
      </w:r>
      <w:hyperlink r:id="rId286"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87"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Pea F., Furlanut M., Negri C., Pavan F., Crapis M., Cristini F., et al. (2009) Prospectively validated dosing nomograms for maximizing the pharmacodynamics of vancomycin administered by continuous infusion in critically ill patients. </w:t>
      </w:r>
      <w:r w:rsidRPr="00AB7588">
        <w:rPr>
          <w:rFonts w:ascii="Times New Roman" w:eastAsia="Times New Roman" w:hAnsi="Times New Roman" w:cs="Times New Roman"/>
          <w:i/>
          <w:iCs/>
          <w:color w:val="000000"/>
          <w:sz w:val="25"/>
          <w:szCs w:val="25"/>
        </w:rPr>
        <w:t>Antimicrob Agents Chemother</w:t>
      </w:r>
      <w:r w:rsidRPr="00AB7588">
        <w:rPr>
          <w:rFonts w:ascii="Times New Roman" w:eastAsia="Times New Roman" w:hAnsi="Times New Roman" w:cs="Times New Roman"/>
          <w:color w:val="000000"/>
          <w:sz w:val="25"/>
          <w:szCs w:val="25"/>
        </w:rPr>
        <w:t> 53: 1863–1867. [</w:t>
      </w:r>
      <w:hyperlink r:id="rId288"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89"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9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Plakogiannis R., Nogid A. (2007) </w:t>
      </w:r>
      <w:proofErr w:type="gramStart"/>
      <w:r w:rsidRPr="00AB7588">
        <w:rPr>
          <w:rFonts w:ascii="Times New Roman" w:eastAsia="Times New Roman" w:hAnsi="Times New Roman" w:cs="Times New Roman"/>
          <w:color w:val="000000"/>
          <w:sz w:val="25"/>
          <w:szCs w:val="25"/>
        </w:rPr>
        <w:t>Acute</w:t>
      </w:r>
      <w:proofErr w:type="gramEnd"/>
      <w:r w:rsidRPr="00AB7588">
        <w:rPr>
          <w:rFonts w:ascii="Times New Roman" w:eastAsia="Times New Roman" w:hAnsi="Times New Roman" w:cs="Times New Roman"/>
          <w:color w:val="000000"/>
          <w:sz w:val="25"/>
          <w:szCs w:val="25"/>
        </w:rPr>
        <w:t xml:space="preserve"> interstitial nephritis associated with coadministration of vancomycin and ceftriaxone: case series and review of the literature. </w:t>
      </w:r>
      <w:r w:rsidRPr="00AB7588">
        <w:rPr>
          <w:rFonts w:ascii="Times New Roman" w:eastAsia="Times New Roman" w:hAnsi="Times New Roman" w:cs="Times New Roman"/>
          <w:i/>
          <w:iCs/>
          <w:color w:val="000000"/>
          <w:sz w:val="25"/>
          <w:szCs w:val="25"/>
        </w:rPr>
        <w:t>Pharmacotherapy</w:t>
      </w:r>
      <w:r w:rsidRPr="00AB7588">
        <w:rPr>
          <w:rFonts w:ascii="Times New Roman" w:eastAsia="Times New Roman" w:hAnsi="Times New Roman" w:cs="Times New Roman"/>
          <w:color w:val="000000"/>
          <w:sz w:val="25"/>
          <w:szCs w:val="25"/>
        </w:rPr>
        <w:t> 27: 1456–1461. [</w:t>
      </w:r>
      <w:hyperlink r:id="rId291"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92"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 xml:space="preserve">Prendecki M., Blacker E., Sadeghi-Alavijeh O., Edwards R., Montgomery H., </w:t>
      </w:r>
      <w:proofErr w:type="gramStart"/>
      <w:r w:rsidRPr="00AB7588">
        <w:rPr>
          <w:rFonts w:ascii="Times New Roman" w:eastAsia="Times New Roman" w:hAnsi="Times New Roman" w:cs="Times New Roman"/>
          <w:color w:val="000000"/>
          <w:sz w:val="25"/>
          <w:szCs w:val="25"/>
        </w:rPr>
        <w:t>Gillis</w:t>
      </w:r>
      <w:proofErr w:type="gramEnd"/>
      <w:r w:rsidRPr="00AB7588">
        <w:rPr>
          <w:rFonts w:ascii="Times New Roman" w:eastAsia="Times New Roman" w:hAnsi="Times New Roman" w:cs="Times New Roman"/>
          <w:color w:val="000000"/>
          <w:sz w:val="25"/>
          <w:szCs w:val="25"/>
        </w:rPr>
        <w:t xml:space="preserve"> S, et al. (2016) Improving outcomes in patients with acute kidney injury: the impact of hospital based automated AKI alerts. </w:t>
      </w:r>
      <w:r w:rsidRPr="00AB7588">
        <w:rPr>
          <w:rFonts w:ascii="Times New Roman" w:eastAsia="Times New Roman" w:hAnsi="Times New Roman" w:cs="Times New Roman"/>
          <w:i/>
          <w:iCs/>
          <w:color w:val="000000"/>
          <w:sz w:val="25"/>
          <w:szCs w:val="25"/>
        </w:rPr>
        <w:t>Postgrad Med J</w:t>
      </w:r>
      <w:r w:rsidRPr="00AB7588">
        <w:rPr>
          <w:rFonts w:ascii="Times New Roman" w:eastAsia="Times New Roman" w:hAnsi="Times New Roman" w:cs="Times New Roman"/>
          <w:color w:val="000000"/>
          <w:sz w:val="25"/>
          <w:szCs w:val="25"/>
        </w:rPr>
        <w:t> 92: 9–13. [</w:t>
      </w:r>
      <w:hyperlink r:id="rId293"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94"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95"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Prybylski J. (2015) Vancomycin trough concentration as a predictor of clinical outcomes in patients with Staphylococcus aureus bacteremia: a meta-analysis of observational studies. </w:t>
      </w:r>
      <w:r w:rsidRPr="00AB7588">
        <w:rPr>
          <w:rFonts w:ascii="Times New Roman" w:eastAsia="Times New Roman" w:hAnsi="Times New Roman" w:cs="Times New Roman"/>
          <w:i/>
          <w:iCs/>
          <w:color w:val="000000"/>
          <w:sz w:val="25"/>
          <w:szCs w:val="25"/>
        </w:rPr>
        <w:t>Pharmacotherapy</w:t>
      </w:r>
      <w:r w:rsidRPr="00AB7588">
        <w:rPr>
          <w:rFonts w:ascii="Times New Roman" w:eastAsia="Times New Roman" w:hAnsi="Times New Roman" w:cs="Times New Roman"/>
          <w:color w:val="000000"/>
          <w:sz w:val="25"/>
          <w:szCs w:val="25"/>
        </w:rPr>
        <w:t> 35: 889–898. [</w:t>
      </w:r>
      <w:hyperlink r:id="rId296"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297"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Ragab A., Al-Mazroua M., Al-Harony M. (2013) Incidence and predisposing factors of vancomycin-induced nephrotoxicity in children. </w:t>
      </w:r>
      <w:r w:rsidRPr="00AB7588">
        <w:rPr>
          <w:rFonts w:ascii="Times New Roman" w:eastAsia="Times New Roman" w:hAnsi="Times New Roman" w:cs="Times New Roman"/>
          <w:i/>
          <w:iCs/>
          <w:color w:val="000000"/>
          <w:sz w:val="25"/>
          <w:szCs w:val="25"/>
        </w:rPr>
        <w:t>Infect Dis Ther</w:t>
      </w:r>
      <w:r w:rsidRPr="00AB7588">
        <w:rPr>
          <w:rFonts w:ascii="Times New Roman" w:eastAsia="Times New Roman" w:hAnsi="Times New Roman" w:cs="Times New Roman"/>
          <w:color w:val="000000"/>
          <w:sz w:val="25"/>
          <w:szCs w:val="25"/>
        </w:rPr>
        <w:t> 2: 37–46. [</w:t>
      </w:r>
      <w:hyperlink r:id="rId298"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299"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0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Revilla N., Martín-Suárez A., Pérez M., González F., Fernández de Gatta Mdel M. (2010) Vancomycin dosing assessment in intensive care unit patients based on a population pharmacokinetic/ pharmacodynamic simulation. </w:t>
      </w:r>
      <w:r w:rsidRPr="00AB7588">
        <w:rPr>
          <w:rFonts w:ascii="Times New Roman" w:eastAsia="Times New Roman" w:hAnsi="Times New Roman" w:cs="Times New Roman"/>
          <w:i/>
          <w:iCs/>
          <w:color w:val="000000"/>
          <w:sz w:val="25"/>
          <w:szCs w:val="25"/>
        </w:rPr>
        <w:t>Br J Clin Pharmacol</w:t>
      </w:r>
      <w:r w:rsidRPr="00AB7588">
        <w:rPr>
          <w:rFonts w:ascii="Times New Roman" w:eastAsia="Times New Roman" w:hAnsi="Times New Roman" w:cs="Times New Roman"/>
          <w:color w:val="000000"/>
          <w:sz w:val="25"/>
          <w:szCs w:val="25"/>
        </w:rPr>
        <w:t> 70: 201–212. [</w:t>
      </w:r>
      <w:hyperlink r:id="rId301"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302"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03"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Richardson J., Scheetz M., O’Donnell E. (2015) </w:t>
      </w:r>
      <w:proofErr w:type="gramStart"/>
      <w:r w:rsidRPr="00AB7588">
        <w:rPr>
          <w:rFonts w:ascii="Times New Roman" w:eastAsia="Times New Roman" w:hAnsi="Times New Roman" w:cs="Times New Roman"/>
          <w:color w:val="000000"/>
          <w:sz w:val="25"/>
          <w:szCs w:val="25"/>
        </w:rPr>
        <w:t>The</w:t>
      </w:r>
      <w:proofErr w:type="gramEnd"/>
      <w:r w:rsidRPr="00AB7588">
        <w:rPr>
          <w:rFonts w:ascii="Times New Roman" w:eastAsia="Times New Roman" w:hAnsi="Times New Roman" w:cs="Times New Roman"/>
          <w:color w:val="000000"/>
          <w:sz w:val="25"/>
          <w:szCs w:val="25"/>
        </w:rPr>
        <w:t xml:space="preserve"> association of elevated trough serum vancomycin concentrations with obesity. </w:t>
      </w:r>
      <w:r w:rsidRPr="00AB7588">
        <w:rPr>
          <w:rFonts w:ascii="Times New Roman" w:eastAsia="Times New Roman" w:hAnsi="Times New Roman" w:cs="Times New Roman"/>
          <w:i/>
          <w:iCs/>
          <w:color w:val="000000"/>
          <w:sz w:val="25"/>
          <w:szCs w:val="25"/>
        </w:rPr>
        <w:t>J Infect Chemother</w:t>
      </w:r>
      <w:r w:rsidRPr="00AB7588">
        <w:rPr>
          <w:rFonts w:ascii="Times New Roman" w:eastAsia="Times New Roman" w:hAnsi="Times New Roman" w:cs="Times New Roman"/>
          <w:color w:val="000000"/>
          <w:sz w:val="25"/>
          <w:szCs w:val="25"/>
        </w:rPr>
        <w:t> 21: 507–511. [</w:t>
      </w:r>
      <w:hyperlink r:id="rId304"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305"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06"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Roberts J., Abdul-Aziz M., Lipman J., Mouton J., Vinks A., Felton T., et al. (2014) International Society of Anti-Infective Pharmacology and the Pharmacokinetics and Pharmacodynamics Study Group of the European Society of Clinical Microbiology and Infectious Diseases. Individualised antibiotic dosing for patients who are critically ill: challenges and potential solutions. </w:t>
      </w:r>
      <w:r w:rsidRPr="00AB7588">
        <w:rPr>
          <w:rFonts w:ascii="Times New Roman" w:eastAsia="Times New Roman" w:hAnsi="Times New Roman" w:cs="Times New Roman"/>
          <w:i/>
          <w:iCs/>
          <w:color w:val="000000"/>
          <w:sz w:val="25"/>
          <w:szCs w:val="25"/>
        </w:rPr>
        <w:t>Lancet Infect Dis</w:t>
      </w:r>
      <w:r w:rsidRPr="00AB7588">
        <w:rPr>
          <w:rFonts w:ascii="Times New Roman" w:eastAsia="Times New Roman" w:hAnsi="Times New Roman" w:cs="Times New Roman"/>
          <w:color w:val="000000"/>
          <w:sz w:val="25"/>
          <w:szCs w:val="25"/>
        </w:rPr>
        <w:t> 14: 498–509. [</w:t>
      </w:r>
      <w:hyperlink r:id="rId307"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308"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09"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Roberts J., Taccone F., Udy A., Vincent J., Jacobs F., Lipman J. (2011) Vancomycin dosing in critically ill patients: robust methods for improved continuous-infusion regimens. </w:t>
      </w:r>
      <w:r w:rsidRPr="00AB7588">
        <w:rPr>
          <w:rFonts w:ascii="Times New Roman" w:eastAsia="Times New Roman" w:hAnsi="Times New Roman" w:cs="Times New Roman"/>
          <w:i/>
          <w:iCs/>
          <w:color w:val="000000"/>
          <w:sz w:val="25"/>
          <w:szCs w:val="25"/>
        </w:rPr>
        <w:t>Antimicrob Agents Chemother</w:t>
      </w:r>
      <w:r w:rsidRPr="00AB7588">
        <w:rPr>
          <w:rFonts w:ascii="Times New Roman" w:eastAsia="Times New Roman" w:hAnsi="Times New Roman" w:cs="Times New Roman"/>
          <w:color w:val="000000"/>
          <w:sz w:val="25"/>
          <w:szCs w:val="25"/>
        </w:rPr>
        <w:t> 55: 2704–2709. [</w:t>
      </w:r>
      <w:hyperlink r:id="rId310"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311"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12"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 xml:space="preserve">Rodvold K., George J., </w:t>
      </w:r>
      <w:proofErr w:type="gramStart"/>
      <w:r w:rsidRPr="00AB7588">
        <w:rPr>
          <w:rFonts w:ascii="Times New Roman" w:eastAsia="Times New Roman" w:hAnsi="Times New Roman" w:cs="Times New Roman"/>
          <w:color w:val="000000"/>
          <w:sz w:val="25"/>
          <w:szCs w:val="25"/>
        </w:rPr>
        <w:t>Yoo</w:t>
      </w:r>
      <w:proofErr w:type="gramEnd"/>
      <w:r w:rsidRPr="00AB7588">
        <w:rPr>
          <w:rFonts w:ascii="Times New Roman" w:eastAsia="Times New Roman" w:hAnsi="Times New Roman" w:cs="Times New Roman"/>
          <w:color w:val="000000"/>
          <w:sz w:val="25"/>
          <w:szCs w:val="25"/>
        </w:rPr>
        <w:t xml:space="preserve"> L. (2011) Penetration of anti-infective agents into pulmonary epithelial lining fluid: focus on antibacterial agents. </w:t>
      </w:r>
      <w:r w:rsidRPr="00AB7588">
        <w:rPr>
          <w:rFonts w:ascii="Times New Roman" w:eastAsia="Times New Roman" w:hAnsi="Times New Roman" w:cs="Times New Roman"/>
          <w:i/>
          <w:iCs/>
          <w:color w:val="000000"/>
          <w:sz w:val="25"/>
          <w:szCs w:val="25"/>
        </w:rPr>
        <w:t>Clin Pharmacokinet</w:t>
      </w:r>
      <w:r w:rsidRPr="00AB7588">
        <w:rPr>
          <w:rFonts w:ascii="Times New Roman" w:eastAsia="Times New Roman" w:hAnsi="Times New Roman" w:cs="Times New Roman"/>
          <w:color w:val="000000"/>
          <w:sz w:val="25"/>
          <w:szCs w:val="25"/>
        </w:rPr>
        <w:t> 50: 637–664. [</w:t>
      </w:r>
      <w:hyperlink r:id="rId313"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14"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Rostas S., Kubiak D., Calderwood M. (2014) High-dose intravenous vancomycin therapy and the risk of nephrotoxicity. </w:t>
      </w:r>
      <w:r w:rsidRPr="00AB7588">
        <w:rPr>
          <w:rFonts w:ascii="Times New Roman" w:eastAsia="Times New Roman" w:hAnsi="Times New Roman" w:cs="Times New Roman"/>
          <w:i/>
          <w:iCs/>
          <w:color w:val="000000"/>
          <w:sz w:val="25"/>
          <w:szCs w:val="25"/>
        </w:rPr>
        <w:t>Clin Ther</w:t>
      </w:r>
      <w:r w:rsidRPr="00AB7588">
        <w:rPr>
          <w:rFonts w:ascii="Times New Roman" w:eastAsia="Times New Roman" w:hAnsi="Times New Roman" w:cs="Times New Roman"/>
          <w:color w:val="000000"/>
          <w:sz w:val="25"/>
          <w:szCs w:val="25"/>
        </w:rPr>
        <w:t> 36: 1098–1101. [</w:t>
      </w:r>
      <w:hyperlink r:id="rId315"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16"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Rybak M., Albrecht L., Boike S., Chandrasekar P. (1990) Nephrotoxicity of vancomycin, alone and with an aminoglycoside. </w:t>
      </w:r>
      <w:r w:rsidRPr="00AB7588">
        <w:rPr>
          <w:rFonts w:ascii="Times New Roman" w:eastAsia="Times New Roman" w:hAnsi="Times New Roman" w:cs="Times New Roman"/>
          <w:i/>
          <w:iCs/>
          <w:color w:val="000000"/>
          <w:sz w:val="25"/>
          <w:szCs w:val="25"/>
        </w:rPr>
        <w:t>J Antimicrob Chemother</w:t>
      </w:r>
      <w:r w:rsidRPr="00AB7588">
        <w:rPr>
          <w:rFonts w:ascii="Times New Roman" w:eastAsia="Times New Roman" w:hAnsi="Times New Roman" w:cs="Times New Roman"/>
          <w:color w:val="000000"/>
          <w:sz w:val="25"/>
          <w:szCs w:val="25"/>
        </w:rPr>
        <w:t> 25: 679–687. [</w:t>
      </w:r>
      <w:hyperlink r:id="rId317"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18"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Rybak M., Lomaestro B., Rotschafer J., Moellering R., Jr, Craig W., Billeter M., et al. (2009) Therapeutic monitoring of vancomycin in adult patients: a consensus review of the American Society of Health-System Pharmacists, the Infectious Diseases Society of America, and the Society of Infectious Diseases Pharmacists. </w:t>
      </w:r>
      <w:proofErr w:type="gramStart"/>
      <w:r w:rsidRPr="00AB7588">
        <w:rPr>
          <w:rFonts w:ascii="Times New Roman" w:eastAsia="Times New Roman" w:hAnsi="Times New Roman" w:cs="Times New Roman"/>
          <w:i/>
          <w:iCs/>
          <w:color w:val="000000"/>
          <w:sz w:val="25"/>
          <w:szCs w:val="25"/>
        </w:rPr>
        <w:t>Am</w:t>
      </w:r>
      <w:proofErr w:type="gramEnd"/>
      <w:r w:rsidRPr="00AB7588">
        <w:rPr>
          <w:rFonts w:ascii="Times New Roman" w:eastAsia="Times New Roman" w:hAnsi="Times New Roman" w:cs="Times New Roman"/>
          <w:i/>
          <w:iCs/>
          <w:color w:val="000000"/>
          <w:sz w:val="25"/>
          <w:szCs w:val="25"/>
        </w:rPr>
        <w:t xml:space="preserve"> J Health Syst Pharm</w:t>
      </w:r>
      <w:r w:rsidRPr="00AB7588">
        <w:rPr>
          <w:rFonts w:ascii="Times New Roman" w:eastAsia="Times New Roman" w:hAnsi="Times New Roman" w:cs="Times New Roman"/>
          <w:color w:val="000000"/>
          <w:sz w:val="25"/>
          <w:szCs w:val="25"/>
        </w:rPr>
        <w:t> 66: 82–98. [</w:t>
      </w:r>
      <w:hyperlink r:id="rId319"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2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Sinclair E., Yenokyan G., McMunn A., Fadrowski J., Milstone A., Lee C. (2014) Factors associated with acute kidney injury in children receiving vancomycin. </w:t>
      </w:r>
      <w:r w:rsidRPr="00AB7588">
        <w:rPr>
          <w:rFonts w:ascii="Times New Roman" w:eastAsia="Times New Roman" w:hAnsi="Times New Roman" w:cs="Times New Roman"/>
          <w:i/>
          <w:iCs/>
          <w:color w:val="000000"/>
          <w:sz w:val="25"/>
          <w:szCs w:val="25"/>
        </w:rPr>
        <w:t>Ann Pharmacother</w:t>
      </w:r>
      <w:r w:rsidRPr="00AB7588">
        <w:rPr>
          <w:rFonts w:ascii="Times New Roman" w:eastAsia="Times New Roman" w:hAnsi="Times New Roman" w:cs="Times New Roman"/>
          <w:color w:val="000000"/>
          <w:sz w:val="25"/>
          <w:szCs w:val="25"/>
        </w:rPr>
        <w:t> 48: 1555–1562. [</w:t>
      </w:r>
      <w:hyperlink r:id="rId321"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22"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Spadaro S., Berselli A., Fogagnolo A., Capuzzo M., Ragazzi R., Marangoni E., et al. (2015) Evaluation of a protocol for vancomycin administration in critically patients with and without kidney dysfunction. </w:t>
      </w:r>
      <w:r w:rsidRPr="00AB7588">
        <w:rPr>
          <w:rFonts w:ascii="Times New Roman" w:eastAsia="Times New Roman" w:hAnsi="Times New Roman" w:cs="Times New Roman"/>
          <w:i/>
          <w:iCs/>
          <w:color w:val="000000"/>
          <w:sz w:val="25"/>
          <w:szCs w:val="25"/>
        </w:rPr>
        <w:t>BMC Anesthesiol</w:t>
      </w:r>
      <w:r w:rsidRPr="00AB7588">
        <w:rPr>
          <w:rFonts w:ascii="Times New Roman" w:eastAsia="Times New Roman" w:hAnsi="Times New Roman" w:cs="Times New Roman"/>
          <w:color w:val="000000"/>
          <w:sz w:val="25"/>
          <w:szCs w:val="25"/>
        </w:rPr>
        <w:t> 15: 95. [</w:t>
      </w:r>
      <w:hyperlink r:id="rId323"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324"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25"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Stidham T., Reiter P., Ford D., Lum G., Albietz J. (2011) Successful utilization of high-flux hemodialysis for treatment of vancomycin toxicity in a child. </w:t>
      </w:r>
      <w:r w:rsidRPr="00AB7588">
        <w:rPr>
          <w:rFonts w:ascii="Times New Roman" w:eastAsia="Times New Roman" w:hAnsi="Times New Roman" w:cs="Times New Roman"/>
          <w:i/>
          <w:iCs/>
          <w:color w:val="000000"/>
          <w:sz w:val="25"/>
          <w:szCs w:val="25"/>
        </w:rPr>
        <w:t>Case Rep Pediatr</w:t>
      </w:r>
      <w:r w:rsidRPr="00AB7588">
        <w:rPr>
          <w:rFonts w:ascii="Times New Roman" w:eastAsia="Times New Roman" w:hAnsi="Times New Roman" w:cs="Times New Roman"/>
          <w:color w:val="000000"/>
          <w:sz w:val="25"/>
          <w:szCs w:val="25"/>
        </w:rPr>
        <w:t> 2011: 678–724. [</w:t>
      </w:r>
      <w:hyperlink r:id="rId326"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327"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28"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Totapally B., Machado J., Lee H., Paredes A., Raszynski A. (2013) Acute kidney injury during vancomycin therapy in critically ill children. </w:t>
      </w:r>
      <w:r w:rsidRPr="00AB7588">
        <w:rPr>
          <w:rFonts w:ascii="Times New Roman" w:eastAsia="Times New Roman" w:hAnsi="Times New Roman" w:cs="Times New Roman"/>
          <w:i/>
          <w:iCs/>
          <w:color w:val="000000"/>
          <w:sz w:val="25"/>
          <w:szCs w:val="25"/>
        </w:rPr>
        <w:t>Pharmacotherapy</w:t>
      </w:r>
      <w:r w:rsidRPr="00AB7588">
        <w:rPr>
          <w:rFonts w:ascii="Times New Roman" w:eastAsia="Times New Roman" w:hAnsi="Times New Roman" w:cs="Times New Roman"/>
          <w:color w:val="000000"/>
          <w:sz w:val="25"/>
          <w:szCs w:val="25"/>
        </w:rPr>
        <w:t> 33: 598–602. [</w:t>
      </w:r>
      <w:hyperlink r:id="rId329"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30"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Uchino S., Kellum J., Bellomo R., Doig G., Morimatsu H., Morgera S., et al. Beginning and Ending Supportive Therapy for the Kidney (BEST Kidney) Investigators (2005) Acute renal failure in critically ill patients: a multinational, multicenter study. </w:t>
      </w:r>
      <w:r w:rsidRPr="00AB7588">
        <w:rPr>
          <w:rFonts w:ascii="Times New Roman" w:eastAsia="Times New Roman" w:hAnsi="Times New Roman" w:cs="Times New Roman"/>
          <w:i/>
          <w:iCs/>
          <w:color w:val="000000"/>
          <w:sz w:val="25"/>
          <w:szCs w:val="25"/>
        </w:rPr>
        <w:t>J Am Med Assoc</w:t>
      </w:r>
      <w:r w:rsidRPr="00AB7588">
        <w:rPr>
          <w:rFonts w:ascii="Times New Roman" w:eastAsia="Times New Roman" w:hAnsi="Times New Roman" w:cs="Times New Roman"/>
          <w:color w:val="000000"/>
          <w:sz w:val="25"/>
          <w:szCs w:val="25"/>
        </w:rPr>
        <w:t> 294: 813–818. [</w:t>
      </w:r>
      <w:hyperlink r:id="rId331"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32"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Vandecasteele S., De Bacquer D., De Vriese A. (2011) Implementation of a dose calculator for vancomycin to achieve target trough levels of 15–20 microg/mL in persons undergoing hemodialysis. </w:t>
      </w:r>
      <w:r w:rsidRPr="00AB7588">
        <w:rPr>
          <w:rFonts w:ascii="Times New Roman" w:eastAsia="Times New Roman" w:hAnsi="Times New Roman" w:cs="Times New Roman"/>
          <w:i/>
          <w:iCs/>
          <w:color w:val="000000"/>
          <w:sz w:val="25"/>
          <w:szCs w:val="25"/>
        </w:rPr>
        <w:t>Clin Infect Dis</w:t>
      </w:r>
      <w:r w:rsidRPr="00AB7588">
        <w:rPr>
          <w:rFonts w:ascii="Times New Roman" w:eastAsia="Times New Roman" w:hAnsi="Times New Roman" w:cs="Times New Roman"/>
          <w:color w:val="000000"/>
          <w:sz w:val="25"/>
          <w:szCs w:val="25"/>
        </w:rPr>
        <w:t> 53: 124–129. [</w:t>
      </w:r>
      <w:hyperlink r:id="rId333"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34"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Van Hal S., Paterson D., Lodise T. (2013) Systematic review and meta-analysis of vancomycin-induced nephrotoxicity associated with dosing schedules that maintain troughs between 15 and 20 milligrams per liter. </w:t>
      </w:r>
      <w:r w:rsidRPr="00AB7588">
        <w:rPr>
          <w:rFonts w:ascii="Times New Roman" w:eastAsia="Times New Roman" w:hAnsi="Times New Roman" w:cs="Times New Roman"/>
          <w:i/>
          <w:iCs/>
          <w:color w:val="000000"/>
          <w:sz w:val="25"/>
          <w:szCs w:val="25"/>
        </w:rPr>
        <w:t>Antimicrob Agents Chemother</w:t>
      </w:r>
      <w:r w:rsidRPr="00AB7588">
        <w:rPr>
          <w:rFonts w:ascii="Times New Roman" w:eastAsia="Times New Roman" w:hAnsi="Times New Roman" w:cs="Times New Roman"/>
          <w:color w:val="000000"/>
          <w:sz w:val="25"/>
          <w:szCs w:val="25"/>
        </w:rPr>
        <w:t> 57: 734–744. [</w:t>
      </w:r>
      <w:hyperlink r:id="rId335"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336"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37"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Wicklow B., Ogborn M., Gibson I., Blydt-Hansen T. (2006) Biopsy-proven acute tubular necrosis in a child attributed to vancomycin intoxication. </w:t>
      </w:r>
      <w:r w:rsidRPr="00AB7588">
        <w:rPr>
          <w:rFonts w:ascii="Times New Roman" w:eastAsia="Times New Roman" w:hAnsi="Times New Roman" w:cs="Times New Roman"/>
          <w:i/>
          <w:iCs/>
          <w:color w:val="000000"/>
          <w:sz w:val="25"/>
          <w:szCs w:val="25"/>
        </w:rPr>
        <w:t>Pediatr Nephrol</w:t>
      </w:r>
      <w:r w:rsidRPr="00AB7588">
        <w:rPr>
          <w:rFonts w:ascii="Times New Roman" w:eastAsia="Times New Roman" w:hAnsi="Times New Roman" w:cs="Times New Roman"/>
          <w:color w:val="000000"/>
          <w:sz w:val="25"/>
          <w:szCs w:val="25"/>
        </w:rPr>
        <w:t> 21: 1194–1196. [</w:t>
      </w:r>
      <w:hyperlink r:id="rId338"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39"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Wong-Beringer A., Joo J., Tse E., Beringer P. (2011) Vancomycin-associated nephrotoxicity: a critical appraisal of risk with high-dose therapy. </w:t>
      </w:r>
      <w:r w:rsidRPr="00AB7588">
        <w:rPr>
          <w:rFonts w:ascii="Times New Roman" w:eastAsia="Times New Roman" w:hAnsi="Times New Roman" w:cs="Times New Roman"/>
          <w:i/>
          <w:iCs/>
          <w:color w:val="000000"/>
          <w:sz w:val="25"/>
          <w:szCs w:val="25"/>
        </w:rPr>
        <w:t>Int J Antimicrob Agents</w:t>
      </w:r>
      <w:r w:rsidRPr="00AB7588">
        <w:rPr>
          <w:rFonts w:ascii="Times New Roman" w:eastAsia="Times New Roman" w:hAnsi="Times New Roman" w:cs="Times New Roman"/>
          <w:color w:val="000000"/>
          <w:sz w:val="25"/>
          <w:szCs w:val="25"/>
        </w:rPr>
        <w:t> 37: 95–101. [</w:t>
      </w:r>
      <w:hyperlink r:id="rId340"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41"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Wood C., Kohlhepp S., Kohnen P., Houghton D., Gilbert D. (1986) Vancomycin enhancement of experimental tobramycin nephrotoxicity. </w:t>
      </w:r>
      <w:r w:rsidRPr="00AB7588">
        <w:rPr>
          <w:rFonts w:ascii="Times New Roman" w:eastAsia="Times New Roman" w:hAnsi="Times New Roman" w:cs="Times New Roman"/>
          <w:i/>
          <w:iCs/>
          <w:color w:val="000000"/>
          <w:sz w:val="25"/>
          <w:szCs w:val="25"/>
        </w:rPr>
        <w:t>Antimicrob Agents Chemother</w:t>
      </w:r>
      <w:r w:rsidRPr="00AB7588">
        <w:rPr>
          <w:rFonts w:ascii="Times New Roman" w:eastAsia="Times New Roman" w:hAnsi="Times New Roman" w:cs="Times New Roman"/>
          <w:color w:val="000000"/>
          <w:sz w:val="25"/>
          <w:szCs w:val="25"/>
        </w:rPr>
        <w:t> 30: 20–24. [</w:t>
      </w:r>
      <w:hyperlink r:id="rId342"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343"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44"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 xml:space="preserve">Wu C., Wang J., Chiou Y., Chen C., </w:t>
      </w:r>
      <w:proofErr w:type="gramStart"/>
      <w:r w:rsidRPr="00AB7588">
        <w:rPr>
          <w:rFonts w:ascii="Times New Roman" w:eastAsia="Times New Roman" w:hAnsi="Times New Roman" w:cs="Times New Roman"/>
          <w:color w:val="000000"/>
          <w:sz w:val="25"/>
          <w:szCs w:val="25"/>
        </w:rPr>
        <w:t>Su</w:t>
      </w:r>
      <w:proofErr w:type="gramEnd"/>
      <w:r w:rsidRPr="00AB7588">
        <w:rPr>
          <w:rFonts w:ascii="Times New Roman" w:eastAsia="Times New Roman" w:hAnsi="Times New Roman" w:cs="Times New Roman"/>
          <w:color w:val="000000"/>
          <w:sz w:val="25"/>
          <w:szCs w:val="25"/>
        </w:rPr>
        <w:t xml:space="preserve"> Y. (2007) Biopsy proven acute tubular necrosis associated with vancomycin in a child: case report and literature review. </w:t>
      </w:r>
      <w:r w:rsidRPr="00AB7588">
        <w:rPr>
          <w:rFonts w:ascii="Times New Roman" w:eastAsia="Times New Roman" w:hAnsi="Times New Roman" w:cs="Times New Roman"/>
          <w:i/>
          <w:iCs/>
          <w:color w:val="000000"/>
          <w:sz w:val="25"/>
          <w:szCs w:val="25"/>
        </w:rPr>
        <w:t>Ren Fail</w:t>
      </w:r>
      <w:r w:rsidRPr="00AB7588">
        <w:rPr>
          <w:rFonts w:ascii="Times New Roman" w:eastAsia="Times New Roman" w:hAnsi="Times New Roman" w:cs="Times New Roman"/>
          <w:color w:val="000000"/>
          <w:sz w:val="25"/>
          <w:szCs w:val="25"/>
        </w:rPr>
        <w:t> 29: 1059–1061. [</w:t>
      </w:r>
      <w:hyperlink r:id="rId345"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46"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 xml:space="preserve">Wysocki M., Delatour F., Faurisson F., Rauss A., Pean Y., </w:t>
      </w:r>
      <w:proofErr w:type="gramStart"/>
      <w:r w:rsidRPr="00AB7588">
        <w:rPr>
          <w:rFonts w:ascii="Times New Roman" w:eastAsia="Times New Roman" w:hAnsi="Times New Roman" w:cs="Times New Roman"/>
          <w:color w:val="000000"/>
          <w:sz w:val="25"/>
          <w:szCs w:val="25"/>
        </w:rPr>
        <w:t>Misset</w:t>
      </w:r>
      <w:proofErr w:type="gramEnd"/>
      <w:r w:rsidRPr="00AB7588">
        <w:rPr>
          <w:rFonts w:ascii="Times New Roman" w:eastAsia="Times New Roman" w:hAnsi="Times New Roman" w:cs="Times New Roman"/>
          <w:color w:val="000000"/>
          <w:sz w:val="25"/>
          <w:szCs w:val="25"/>
        </w:rPr>
        <w:t xml:space="preserve"> B., et al. (2001) Continuous versus intermittent infusion of vancomycin in severe staphylococcal infections: prospective multicenter randomized study. </w:t>
      </w:r>
      <w:r w:rsidRPr="00AB7588">
        <w:rPr>
          <w:rFonts w:ascii="Times New Roman" w:eastAsia="Times New Roman" w:hAnsi="Times New Roman" w:cs="Times New Roman"/>
          <w:i/>
          <w:iCs/>
          <w:color w:val="000000"/>
          <w:sz w:val="25"/>
          <w:szCs w:val="25"/>
        </w:rPr>
        <w:t>Antimicrob Agents Chemother</w:t>
      </w:r>
      <w:r w:rsidRPr="00AB7588">
        <w:rPr>
          <w:rFonts w:ascii="Times New Roman" w:eastAsia="Times New Roman" w:hAnsi="Times New Roman" w:cs="Times New Roman"/>
          <w:color w:val="000000"/>
          <w:sz w:val="25"/>
          <w:szCs w:val="25"/>
        </w:rPr>
        <w:t> 45: 2460–2467. [</w:t>
      </w:r>
      <w:hyperlink r:id="rId347"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348"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49"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Xie J., Pierce J., James R., Okano A., Boger D. (2011) A redesigned vancomycin engineered for dual D-Ala-D-Ala and D-Ala-D-Lac binding exhibits potent antimicrobial activity against vancomycin-resistant bacteria. </w:t>
      </w:r>
      <w:r w:rsidRPr="00AB7588">
        <w:rPr>
          <w:rFonts w:ascii="Times New Roman" w:eastAsia="Times New Roman" w:hAnsi="Times New Roman" w:cs="Times New Roman"/>
          <w:i/>
          <w:iCs/>
          <w:color w:val="000000"/>
          <w:sz w:val="25"/>
          <w:szCs w:val="25"/>
        </w:rPr>
        <w:t>J Am Chem Soc</w:t>
      </w:r>
      <w:r w:rsidRPr="00AB7588">
        <w:rPr>
          <w:rFonts w:ascii="Times New Roman" w:eastAsia="Times New Roman" w:hAnsi="Times New Roman" w:cs="Times New Roman"/>
          <w:color w:val="000000"/>
          <w:sz w:val="25"/>
          <w:szCs w:val="25"/>
        </w:rPr>
        <w:t> 133: 13946–13949. [</w:t>
      </w:r>
      <w:hyperlink r:id="rId350" w:history="1">
        <w:r w:rsidRPr="00AB7588">
          <w:rPr>
            <w:rFonts w:ascii="Times New Roman" w:eastAsia="Times New Roman" w:hAnsi="Times New Roman" w:cs="Times New Roman"/>
            <w:color w:val="2F4A8B"/>
            <w:sz w:val="25"/>
            <w:szCs w:val="25"/>
            <w:u w:val="single"/>
          </w:rPr>
          <w:t>PMC free article</w:t>
        </w:r>
      </w:hyperlink>
      <w:r w:rsidRPr="00AB7588">
        <w:rPr>
          <w:rFonts w:ascii="Times New Roman" w:eastAsia="Times New Roman" w:hAnsi="Times New Roman" w:cs="Times New Roman"/>
          <w:color w:val="000000"/>
          <w:sz w:val="25"/>
          <w:szCs w:val="25"/>
        </w:rPr>
        <w:t>] [</w:t>
      </w:r>
      <w:hyperlink r:id="rId351"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52"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 xml:space="preserve">Yang Z., Liu J., </w:t>
      </w:r>
      <w:proofErr w:type="gramStart"/>
      <w:r w:rsidRPr="00AB7588">
        <w:rPr>
          <w:rFonts w:ascii="Times New Roman" w:eastAsia="Times New Roman" w:hAnsi="Times New Roman" w:cs="Times New Roman"/>
          <w:color w:val="000000"/>
          <w:sz w:val="25"/>
          <w:szCs w:val="25"/>
        </w:rPr>
        <w:t>Gao</w:t>
      </w:r>
      <w:proofErr w:type="gramEnd"/>
      <w:r w:rsidRPr="00AB7588">
        <w:rPr>
          <w:rFonts w:ascii="Times New Roman" w:eastAsia="Times New Roman" w:hAnsi="Times New Roman" w:cs="Times New Roman"/>
          <w:color w:val="000000"/>
          <w:sz w:val="25"/>
          <w:szCs w:val="25"/>
        </w:rPr>
        <w:t xml:space="preserve"> J., Chen S., Huang G. (2015) Chitosan coated vancomycin hydrochloride liposomes: characterizations and evaluation. </w:t>
      </w:r>
      <w:r w:rsidRPr="00AB7588">
        <w:rPr>
          <w:rFonts w:ascii="Times New Roman" w:eastAsia="Times New Roman" w:hAnsi="Times New Roman" w:cs="Times New Roman"/>
          <w:i/>
          <w:iCs/>
          <w:color w:val="000000"/>
          <w:sz w:val="25"/>
          <w:szCs w:val="25"/>
        </w:rPr>
        <w:t>Int J Pharm</w:t>
      </w:r>
      <w:r w:rsidRPr="00AB7588">
        <w:rPr>
          <w:rFonts w:ascii="Times New Roman" w:eastAsia="Times New Roman" w:hAnsi="Times New Roman" w:cs="Times New Roman"/>
          <w:color w:val="000000"/>
          <w:sz w:val="25"/>
          <w:szCs w:val="25"/>
        </w:rPr>
        <w:t> 495: 508–515. [</w:t>
      </w:r>
      <w:hyperlink r:id="rId353"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54"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Yarlagadda V., Konai M., Manjunath G., Ghosh C., Haldar J. (2015) Tackling vancomycin-resistant bacteria with ‘lipophilic-vancomycin-carbohydrate conjugates’. </w:t>
      </w:r>
      <w:r w:rsidRPr="00AB7588">
        <w:rPr>
          <w:rFonts w:ascii="Times New Roman" w:eastAsia="Times New Roman" w:hAnsi="Times New Roman" w:cs="Times New Roman"/>
          <w:i/>
          <w:iCs/>
          <w:color w:val="000000"/>
          <w:sz w:val="25"/>
          <w:szCs w:val="25"/>
        </w:rPr>
        <w:t>J Antibiot (Tokyo)</w:t>
      </w:r>
      <w:r w:rsidRPr="00AB7588">
        <w:rPr>
          <w:rFonts w:ascii="Times New Roman" w:eastAsia="Times New Roman" w:hAnsi="Times New Roman" w:cs="Times New Roman"/>
          <w:color w:val="000000"/>
          <w:sz w:val="25"/>
          <w:szCs w:val="25"/>
        </w:rPr>
        <w:t> 68: 302–312. [</w:t>
      </w:r>
      <w:hyperlink r:id="rId355"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56"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AB7588" w:rsidRPr="00AB7588" w:rsidRDefault="00AB7588" w:rsidP="00AB7588">
      <w:pPr>
        <w:numPr>
          <w:ilvl w:val="0"/>
          <w:numId w:val="1"/>
        </w:numPr>
        <w:shd w:val="clear" w:color="auto" w:fill="FFFFFF"/>
        <w:spacing w:before="100" w:beforeAutospacing="1" w:after="100" w:afterAutospacing="1"/>
        <w:ind w:left="744"/>
        <w:jc w:val="both"/>
        <w:rPr>
          <w:rFonts w:ascii="Times New Roman" w:eastAsia="Times New Roman" w:hAnsi="Times New Roman" w:cs="Times New Roman"/>
          <w:color w:val="000000"/>
          <w:sz w:val="25"/>
          <w:szCs w:val="25"/>
        </w:rPr>
      </w:pPr>
      <w:r w:rsidRPr="00AB7588">
        <w:rPr>
          <w:rFonts w:ascii="Times New Roman" w:eastAsia="Times New Roman" w:hAnsi="Times New Roman" w:cs="Times New Roman"/>
          <w:color w:val="000000"/>
          <w:sz w:val="25"/>
          <w:szCs w:val="25"/>
        </w:rPr>
        <w:t>Zuliani E., Zwahlen H., Gilliet F., Marone C. (2005) Vancomycin-induced hypersensitivity reaction with acute renal failure: resolution following cyclosporine treatment. </w:t>
      </w:r>
      <w:r w:rsidRPr="00AB7588">
        <w:rPr>
          <w:rFonts w:ascii="Times New Roman" w:eastAsia="Times New Roman" w:hAnsi="Times New Roman" w:cs="Times New Roman"/>
          <w:i/>
          <w:iCs/>
          <w:color w:val="000000"/>
          <w:sz w:val="25"/>
          <w:szCs w:val="25"/>
        </w:rPr>
        <w:t>Clin Nephrol</w:t>
      </w:r>
      <w:r w:rsidRPr="00AB7588">
        <w:rPr>
          <w:rFonts w:ascii="Times New Roman" w:eastAsia="Times New Roman" w:hAnsi="Times New Roman" w:cs="Times New Roman"/>
          <w:color w:val="000000"/>
          <w:sz w:val="25"/>
          <w:szCs w:val="25"/>
        </w:rPr>
        <w:t> 64: 155–158. [</w:t>
      </w:r>
      <w:hyperlink r:id="rId357" w:history="1">
        <w:r w:rsidRPr="00AB7588">
          <w:rPr>
            <w:rFonts w:ascii="Times New Roman" w:eastAsia="Times New Roman" w:hAnsi="Times New Roman" w:cs="Times New Roman"/>
            <w:color w:val="2F4A8B"/>
            <w:sz w:val="25"/>
            <w:szCs w:val="25"/>
            <w:u w:val="single"/>
          </w:rPr>
          <w:t>PubMed</w:t>
        </w:r>
      </w:hyperlink>
      <w:r w:rsidRPr="00AB7588">
        <w:rPr>
          <w:rFonts w:ascii="Times New Roman" w:eastAsia="Times New Roman" w:hAnsi="Times New Roman" w:cs="Times New Roman"/>
          <w:color w:val="000000"/>
          <w:sz w:val="25"/>
          <w:szCs w:val="25"/>
        </w:rPr>
        <w:t>] [</w:t>
      </w:r>
      <w:hyperlink r:id="rId358" w:tgtFrame="_blank" w:history="1">
        <w:r w:rsidRPr="00AB7588">
          <w:rPr>
            <w:rFonts w:ascii="Times New Roman" w:eastAsia="Times New Roman" w:hAnsi="Times New Roman" w:cs="Times New Roman"/>
            <w:color w:val="2F4A8B"/>
            <w:sz w:val="25"/>
            <w:szCs w:val="25"/>
            <w:u w:val="single"/>
          </w:rPr>
          <w:t>Google Scholar</w:t>
        </w:r>
      </w:hyperlink>
      <w:r w:rsidRPr="00AB7588">
        <w:rPr>
          <w:rFonts w:ascii="Times New Roman" w:eastAsia="Times New Roman" w:hAnsi="Times New Roman" w:cs="Times New Roman"/>
          <w:color w:val="000000"/>
          <w:sz w:val="25"/>
          <w:szCs w:val="25"/>
        </w:rPr>
        <w:t>]</w:t>
      </w:r>
    </w:p>
    <w:p w:rsidR="00025BF8" w:rsidRDefault="00025BF8" w:rsidP="00AB7588">
      <w:pPr>
        <w:jc w:val="both"/>
      </w:pPr>
    </w:p>
    <w:sectPr w:rsidR="0002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42A03"/>
    <w:multiLevelType w:val="multilevel"/>
    <w:tmpl w:val="F776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FB3774"/>
    <w:multiLevelType w:val="multilevel"/>
    <w:tmpl w:val="5B540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B17B10"/>
    <w:multiLevelType w:val="multilevel"/>
    <w:tmpl w:val="CB38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1B4372"/>
    <w:multiLevelType w:val="multilevel"/>
    <w:tmpl w:val="6CCA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8F1FF1"/>
    <w:multiLevelType w:val="multilevel"/>
    <w:tmpl w:val="54B8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E50A4E"/>
    <w:multiLevelType w:val="multilevel"/>
    <w:tmpl w:val="ECA2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B33193"/>
    <w:multiLevelType w:val="multilevel"/>
    <w:tmpl w:val="1D5A8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942038"/>
    <w:multiLevelType w:val="multilevel"/>
    <w:tmpl w:val="94F61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734AD1"/>
    <w:multiLevelType w:val="multilevel"/>
    <w:tmpl w:val="10FE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1E6AEE"/>
    <w:multiLevelType w:val="multilevel"/>
    <w:tmpl w:val="15FE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3F08D4"/>
    <w:multiLevelType w:val="multilevel"/>
    <w:tmpl w:val="D602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965037"/>
    <w:multiLevelType w:val="multilevel"/>
    <w:tmpl w:val="248C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0A265F"/>
    <w:multiLevelType w:val="multilevel"/>
    <w:tmpl w:val="9358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6875DA"/>
    <w:multiLevelType w:val="multilevel"/>
    <w:tmpl w:val="07E8C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114454"/>
    <w:multiLevelType w:val="multilevel"/>
    <w:tmpl w:val="0F8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170EC8"/>
    <w:multiLevelType w:val="multilevel"/>
    <w:tmpl w:val="6E9E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461952"/>
    <w:multiLevelType w:val="multilevel"/>
    <w:tmpl w:val="25AE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4404F3"/>
    <w:multiLevelType w:val="multilevel"/>
    <w:tmpl w:val="2D40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B44772"/>
    <w:multiLevelType w:val="multilevel"/>
    <w:tmpl w:val="2A36E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B634E5"/>
    <w:multiLevelType w:val="multilevel"/>
    <w:tmpl w:val="E11A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AE0B23"/>
    <w:multiLevelType w:val="multilevel"/>
    <w:tmpl w:val="F824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CF649C"/>
    <w:multiLevelType w:val="multilevel"/>
    <w:tmpl w:val="0C4C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31430A"/>
    <w:multiLevelType w:val="multilevel"/>
    <w:tmpl w:val="3C60B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9F29E8"/>
    <w:multiLevelType w:val="multilevel"/>
    <w:tmpl w:val="B3D09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88058C"/>
    <w:multiLevelType w:val="multilevel"/>
    <w:tmpl w:val="DCDE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670566"/>
    <w:multiLevelType w:val="multilevel"/>
    <w:tmpl w:val="9E22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F972D2"/>
    <w:multiLevelType w:val="multilevel"/>
    <w:tmpl w:val="4DEC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DF483D"/>
    <w:multiLevelType w:val="multilevel"/>
    <w:tmpl w:val="1528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90A6195"/>
    <w:multiLevelType w:val="multilevel"/>
    <w:tmpl w:val="B0CE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A4057D"/>
    <w:multiLevelType w:val="multilevel"/>
    <w:tmpl w:val="6A30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2FE58CD"/>
    <w:multiLevelType w:val="multilevel"/>
    <w:tmpl w:val="DA5E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3A71FAC"/>
    <w:multiLevelType w:val="multilevel"/>
    <w:tmpl w:val="6BE4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521ABA"/>
    <w:multiLevelType w:val="multilevel"/>
    <w:tmpl w:val="1A20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6A97A6D"/>
    <w:multiLevelType w:val="multilevel"/>
    <w:tmpl w:val="F0D0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BA411F"/>
    <w:multiLevelType w:val="multilevel"/>
    <w:tmpl w:val="1B30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3A5C33"/>
    <w:multiLevelType w:val="multilevel"/>
    <w:tmpl w:val="D354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D416A28"/>
    <w:multiLevelType w:val="multilevel"/>
    <w:tmpl w:val="B234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45553A"/>
    <w:multiLevelType w:val="multilevel"/>
    <w:tmpl w:val="C6FC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0"/>
  </w:num>
  <w:num w:numId="3">
    <w:abstractNumId w:val="12"/>
  </w:num>
  <w:num w:numId="4">
    <w:abstractNumId w:val="14"/>
  </w:num>
  <w:num w:numId="5">
    <w:abstractNumId w:val="28"/>
  </w:num>
  <w:num w:numId="6">
    <w:abstractNumId w:val="11"/>
  </w:num>
  <w:num w:numId="7">
    <w:abstractNumId w:val="29"/>
  </w:num>
  <w:num w:numId="8">
    <w:abstractNumId w:val="17"/>
  </w:num>
  <w:num w:numId="9">
    <w:abstractNumId w:val="33"/>
  </w:num>
  <w:num w:numId="10">
    <w:abstractNumId w:val="30"/>
  </w:num>
  <w:num w:numId="11">
    <w:abstractNumId w:val="1"/>
  </w:num>
  <w:num w:numId="12">
    <w:abstractNumId w:val="32"/>
  </w:num>
  <w:num w:numId="13">
    <w:abstractNumId w:val="21"/>
  </w:num>
  <w:num w:numId="14">
    <w:abstractNumId w:val="6"/>
  </w:num>
  <w:num w:numId="15">
    <w:abstractNumId w:val="37"/>
  </w:num>
  <w:num w:numId="16">
    <w:abstractNumId w:val="35"/>
  </w:num>
  <w:num w:numId="17">
    <w:abstractNumId w:val="31"/>
  </w:num>
  <w:num w:numId="18">
    <w:abstractNumId w:val="8"/>
  </w:num>
  <w:num w:numId="19">
    <w:abstractNumId w:val="27"/>
  </w:num>
  <w:num w:numId="20">
    <w:abstractNumId w:val="4"/>
  </w:num>
  <w:num w:numId="21">
    <w:abstractNumId w:val="26"/>
  </w:num>
  <w:num w:numId="22">
    <w:abstractNumId w:val="20"/>
  </w:num>
  <w:num w:numId="23">
    <w:abstractNumId w:val="5"/>
  </w:num>
  <w:num w:numId="24">
    <w:abstractNumId w:val="25"/>
  </w:num>
  <w:num w:numId="25">
    <w:abstractNumId w:val="0"/>
  </w:num>
  <w:num w:numId="26">
    <w:abstractNumId w:val="18"/>
  </w:num>
  <w:num w:numId="27">
    <w:abstractNumId w:val="36"/>
  </w:num>
  <w:num w:numId="28">
    <w:abstractNumId w:val="24"/>
  </w:num>
  <w:num w:numId="29">
    <w:abstractNumId w:val="19"/>
  </w:num>
  <w:num w:numId="30">
    <w:abstractNumId w:val="2"/>
  </w:num>
  <w:num w:numId="31">
    <w:abstractNumId w:val="13"/>
  </w:num>
  <w:num w:numId="32">
    <w:abstractNumId w:val="15"/>
  </w:num>
  <w:num w:numId="33">
    <w:abstractNumId w:val="23"/>
  </w:num>
  <w:num w:numId="34">
    <w:abstractNumId w:val="22"/>
  </w:num>
  <w:num w:numId="35">
    <w:abstractNumId w:val="9"/>
  </w:num>
  <w:num w:numId="36">
    <w:abstractNumId w:val="3"/>
  </w:num>
  <w:num w:numId="37">
    <w:abstractNumId w:val="34"/>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588"/>
    <w:rsid w:val="00025BF8"/>
    <w:rsid w:val="009058BA"/>
    <w:rsid w:val="00AB75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B758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B758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B758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B758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B758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B7588"/>
    <w:rPr>
      <w:rFonts w:ascii="Times New Roman" w:eastAsia="Times New Roman" w:hAnsi="Times New Roman" w:cs="Times New Roman"/>
      <w:b/>
      <w:bCs/>
      <w:sz w:val="24"/>
      <w:szCs w:val="24"/>
    </w:rPr>
  </w:style>
  <w:style w:type="numbering" w:customStyle="1" w:styleId="NoList1">
    <w:name w:val="No List1"/>
    <w:next w:val="NoList"/>
    <w:uiPriority w:val="99"/>
    <w:semiHidden/>
    <w:unhideWhenUsed/>
    <w:rsid w:val="00AB7588"/>
  </w:style>
  <w:style w:type="paragraph" w:customStyle="1" w:styleId="p">
    <w:name w:val="p"/>
    <w:basedOn w:val="Normal"/>
    <w:rsid w:val="00AB758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B7588"/>
    <w:rPr>
      <w:i/>
      <w:iCs/>
    </w:rPr>
  </w:style>
  <w:style w:type="character" w:styleId="Strong">
    <w:name w:val="Strong"/>
    <w:basedOn w:val="DefaultParagraphFont"/>
    <w:uiPriority w:val="22"/>
    <w:qFormat/>
    <w:rsid w:val="00AB7588"/>
    <w:rPr>
      <w:b/>
      <w:bCs/>
    </w:rPr>
  </w:style>
  <w:style w:type="character" w:customStyle="1" w:styleId="kwd-text">
    <w:name w:val="kwd-text"/>
    <w:basedOn w:val="DefaultParagraphFont"/>
    <w:rsid w:val="00AB7588"/>
  </w:style>
  <w:style w:type="character" w:styleId="Hyperlink">
    <w:name w:val="Hyperlink"/>
    <w:basedOn w:val="DefaultParagraphFont"/>
    <w:uiPriority w:val="99"/>
    <w:semiHidden/>
    <w:unhideWhenUsed/>
    <w:rsid w:val="00AB7588"/>
    <w:rPr>
      <w:color w:val="0000FF"/>
      <w:u w:val="single"/>
    </w:rPr>
  </w:style>
  <w:style w:type="character" w:styleId="FollowedHyperlink">
    <w:name w:val="FollowedHyperlink"/>
    <w:basedOn w:val="DefaultParagraphFont"/>
    <w:uiPriority w:val="99"/>
    <w:semiHidden/>
    <w:unhideWhenUsed/>
    <w:rsid w:val="00AB7588"/>
    <w:rPr>
      <w:color w:val="800080"/>
      <w:u w:val="single"/>
    </w:rPr>
  </w:style>
  <w:style w:type="paragraph" w:styleId="NormalWeb">
    <w:name w:val="Normal (Web)"/>
    <w:basedOn w:val="Normal"/>
    <w:uiPriority w:val="99"/>
    <w:semiHidden/>
    <w:unhideWhenUsed/>
    <w:rsid w:val="00AB75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n">
    <w:name w:val="fn"/>
    <w:basedOn w:val="Normal"/>
    <w:rsid w:val="00AB75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xed-citation">
    <w:name w:val="mixed-citation"/>
    <w:basedOn w:val="DefaultParagraphFont"/>
    <w:rsid w:val="00AB7588"/>
  </w:style>
  <w:style w:type="character" w:customStyle="1" w:styleId="ref-title">
    <w:name w:val="ref-title"/>
    <w:basedOn w:val="DefaultParagraphFont"/>
    <w:rsid w:val="00AB7588"/>
  </w:style>
  <w:style w:type="character" w:customStyle="1" w:styleId="ref-journal">
    <w:name w:val="ref-journal"/>
    <w:basedOn w:val="DefaultParagraphFont"/>
    <w:rsid w:val="00AB7588"/>
  </w:style>
  <w:style w:type="character" w:customStyle="1" w:styleId="ref-vol">
    <w:name w:val="ref-vol"/>
    <w:basedOn w:val="DefaultParagraphFont"/>
    <w:rsid w:val="00AB7588"/>
  </w:style>
  <w:style w:type="character" w:customStyle="1" w:styleId="nowrap">
    <w:name w:val="nowrap"/>
    <w:basedOn w:val="DefaultParagraphFont"/>
    <w:rsid w:val="00AB7588"/>
  </w:style>
  <w:style w:type="character" w:customStyle="1" w:styleId="ref-iss">
    <w:name w:val="ref-iss"/>
    <w:basedOn w:val="DefaultParagraphFont"/>
    <w:rsid w:val="00AB7588"/>
  </w:style>
  <w:style w:type="character" w:customStyle="1" w:styleId="acknowledgment-journal-title">
    <w:name w:val="acknowledgment-journal-title"/>
    <w:basedOn w:val="DefaultParagraphFont"/>
    <w:rsid w:val="00AB7588"/>
  </w:style>
  <w:style w:type="character" w:customStyle="1" w:styleId="star">
    <w:name w:val="star"/>
    <w:basedOn w:val="DefaultParagraphFont"/>
    <w:rsid w:val="00AB7588"/>
  </w:style>
  <w:style w:type="character" w:customStyle="1" w:styleId="ui-icon">
    <w:name w:val="ui-icon"/>
    <w:basedOn w:val="DefaultParagraphFont"/>
    <w:rsid w:val="00AB7588"/>
  </w:style>
  <w:style w:type="character" w:customStyle="1" w:styleId="source">
    <w:name w:val="source"/>
    <w:basedOn w:val="DefaultParagraphFont"/>
    <w:rsid w:val="00AB7588"/>
  </w:style>
  <w:style w:type="character" w:customStyle="1" w:styleId="invert">
    <w:name w:val="invert"/>
    <w:basedOn w:val="DefaultParagraphFont"/>
    <w:rsid w:val="00AB7588"/>
  </w:style>
  <w:style w:type="character" w:customStyle="1" w:styleId="onelinesource">
    <w:name w:val="one_line_source"/>
    <w:basedOn w:val="DefaultParagraphFont"/>
    <w:rsid w:val="00AB7588"/>
  </w:style>
  <w:style w:type="paragraph" w:customStyle="1" w:styleId="address">
    <w:name w:val="address"/>
    <w:basedOn w:val="Normal"/>
    <w:rsid w:val="00AB75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rl">
    <w:name w:val="url"/>
    <w:basedOn w:val="DefaultParagraphFont"/>
    <w:rsid w:val="00AB7588"/>
  </w:style>
  <w:style w:type="paragraph" w:styleId="BalloonText">
    <w:name w:val="Balloon Text"/>
    <w:basedOn w:val="Normal"/>
    <w:link w:val="BalloonTextChar"/>
    <w:uiPriority w:val="99"/>
    <w:semiHidden/>
    <w:unhideWhenUsed/>
    <w:rsid w:val="00AB75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5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B758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B758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B758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B758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B758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B7588"/>
    <w:rPr>
      <w:rFonts w:ascii="Times New Roman" w:eastAsia="Times New Roman" w:hAnsi="Times New Roman" w:cs="Times New Roman"/>
      <w:b/>
      <w:bCs/>
      <w:sz w:val="24"/>
      <w:szCs w:val="24"/>
    </w:rPr>
  </w:style>
  <w:style w:type="numbering" w:customStyle="1" w:styleId="NoList1">
    <w:name w:val="No List1"/>
    <w:next w:val="NoList"/>
    <w:uiPriority w:val="99"/>
    <w:semiHidden/>
    <w:unhideWhenUsed/>
    <w:rsid w:val="00AB7588"/>
  </w:style>
  <w:style w:type="paragraph" w:customStyle="1" w:styleId="p">
    <w:name w:val="p"/>
    <w:basedOn w:val="Normal"/>
    <w:rsid w:val="00AB758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B7588"/>
    <w:rPr>
      <w:i/>
      <w:iCs/>
    </w:rPr>
  </w:style>
  <w:style w:type="character" w:styleId="Strong">
    <w:name w:val="Strong"/>
    <w:basedOn w:val="DefaultParagraphFont"/>
    <w:uiPriority w:val="22"/>
    <w:qFormat/>
    <w:rsid w:val="00AB7588"/>
    <w:rPr>
      <w:b/>
      <w:bCs/>
    </w:rPr>
  </w:style>
  <w:style w:type="character" w:customStyle="1" w:styleId="kwd-text">
    <w:name w:val="kwd-text"/>
    <w:basedOn w:val="DefaultParagraphFont"/>
    <w:rsid w:val="00AB7588"/>
  </w:style>
  <w:style w:type="character" w:styleId="Hyperlink">
    <w:name w:val="Hyperlink"/>
    <w:basedOn w:val="DefaultParagraphFont"/>
    <w:uiPriority w:val="99"/>
    <w:semiHidden/>
    <w:unhideWhenUsed/>
    <w:rsid w:val="00AB7588"/>
    <w:rPr>
      <w:color w:val="0000FF"/>
      <w:u w:val="single"/>
    </w:rPr>
  </w:style>
  <w:style w:type="character" w:styleId="FollowedHyperlink">
    <w:name w:val="FollowedHyperlink"/>
    <w:basedOn w:val="DefaultParagraphFont"/>
    <w:uiPriority w:val="99"/>
    <w:semiHidden/>
    <w:unhideWhenUsed/>
    <w:rsid w:val="00AB7588"/>
    <w:rPr>
      <w:color w:val="800080"/>
      <w:u w:val="single"/>
    </w:rPr>
  </w:style>
  <w:style w:type="paragraph" w:styleId="NormalWeb">
    <w:name w:val="Normal (Web)"/>
    <w:basedOn w:val="Normal"/>
    <w:uiPriority w:val="99"/>
    <w:semiHidden/>
    <w:unhideWhenUsed/>
    <w:rsid w:val="00AB75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n">
    <w:name w:val="fn"/>
    <w:basedOn w:val="Normal"/>
    <w:rsid w:val="00AB75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xed-citation">
    <w:name w:val="mixed-citation"/>
    <w:basedOn w:val="DefaultParagraphFont"/>
    <w:rsid w:val="00AB7588"/>
  </w:style>
  <w:style w:type="character" w:customStyle="1" w:styleId="ref-title">
    <w:name w:val="ref-title"/>
    <w:basedOn w:val="DefaultParagraphFont"/>
    <w:rsid w:val="00AB7588"/>
  </w:style>
  <w:style w:type="character" w:customStyle="1" w:styleId="ref-journal">
    <w:name w:val="ref-journal"/>
    <w:basedOn w:val="DefaultParagraphFont"/>
    <w:rsid w:val="00AB7588"/>
  </w:style>
  <w:style w:type="character" w:customStyle="1" w:styleId="ref-vol">
    <w:name w:val="ref-vol"/>
    <w:basedOn w:val="DefaultParagraphFont"/>
    <w:rsid w:val="00AB7588"/>
  </w:style>
  <w:style w:type="character" w:customStyle="1" w:styleId="nowrap">
    <w:name w:val="nowrap"/>
    <w:basedOn w:val="DefaultParagraphFont"/>
    <w:rsid w:val="00AB7588"/>
  </w:style>
  <w:style w:type="character" w:customStyle="1" w:styleId="ref-iss">
    <w:name w:val="ref-iss"/>
    <w:basedOn w:val="DefaultParagraphFont"/>
    <w:rsid w:val="00AB7588"/>
  </w:style>
  <w:style w:type="character" w:customStyle="1" w:styleId="acknowledgment-journal-title">
    <w:name w:val="acknowledgment-journal-title"/>
    <w:basedOn w:val="DefaultParagraphFont"/>
    <w:rsid w:val="00AB7588"/>
  </w:style>
  <w:style w:type="character" w:customStyle="1" w:styleId="star">
    <w:name w:val="star"/>
    <w:basedOn w:val="DefaultParagraphFont"/>
    <w:rsid w:val="00AB7588"/>
  </w:style>
  <w:style w:type="character" w:customStyle="1" w:styleId="ui-icon">
    <w:name w:val="ui-icon"/>
    <w:basedOn w:val="DefaultParagraphFont"/>
    <w:rsid w:val="00AB7588"/>
  </w:style>
  <w:style w:type="character" w:customStyle="1" w:styleId="source">
    <w:name w:val="source"/>
    <w:basedOn w:val="DefaultParagraphFont"/>
    <w:rsid w:val="00AB7588"/>
  </w:style>
  <w:style w:type="character" w:customStyle="1" w:styleId="invert">
    <w:name w:val="invert"/>
    <w:basedOn w:val="DefaultParagraphFont"/>
    <w:rsid w:val="00AB7588"/>
  </w:style>
  <w:style w:type="character" w:customStyle="1" w:styleId="onelinesource">
    <w:name w:val="one_line_source"/>
    <w:basedOn w:val="DefaultParagraphFont"/>
    <w:rsid w:val="00AB7588"/>
  </w:style>
  <w:style w:type="paragraph" w:customStyle="1" w:styleId="address">
    <w:name w:val="address"/>
    <w:basedOn w:val="Normal"/>
    <w:rsid w:val="00AB75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rl">
    <w:name w:val="url"/>
    <w:basedOn w:val="DefaultParagraphFont"/>
    <w:rsid w:val="00AB7588"/>
  </w:style>
  <w:style w:type="paragraph" w:styleId="BalloonText">
    <w:name w:val="Balloon Text"/>
    <w:basedOn w:val="Normal"/>
    <w:link w:val="BalloonTextChar"/>
    <w:uiPriority w:val="99"/>
    <w:semiHidden/>
    <w:unhideWhenUsed/>
    <w:rsid w:val="00AB75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5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956034">
      <w:bodyDiv w:val="1"/>
      <w:marLeft w:val="0"/>
      <w:marRight w:val="0"/>
      <w:marTop w:val="0"/>
      <w:marBottom w:val="0"/>
      <w:divBdr>
        <w:top w:val="none" w:sz="0" w:space="0" w:color="auto"/>
        <w:left w:val="none" w:sz="0" w:space="0" w:color="auto"/>
        <w:bottom w:val="none" w:sz="0" w:space="0" w:color="auto"/>
        <w:right w:val="none" w:sz="0" w:space="0" w:color="auto"/>
      </w:divBdr>
      <w:divsChild>
        <w:div w:id="1032612409">
          <w:marLeft w:val="384"/>
          <w:marRight w:val="384"/>
          <w:marTop w:val="0"/>
          <w:marBottom w:val="0"/>
          <w:divBdr>
            <w:top w:val="none" w:sz="0" w:space="0" w:color="auto"/>
            <w:left w:val="none" w:sz="0" w:space="0" w:color="auto"/>
            <w:bottom w:val="none" w:sz="0" w:space="0" w:color="auto"/>
            <w:right w:val="none" w:sz="0" w:space="0" w:color="auto"/>
          </w:divBdr>
          <w:divsChild>
            <w:div w:id="483013249">
              <w:marLeft w:val="0"/>
              <w:marRight w:val="139"/>
              <w:marTop w:val="0"/>
              <w:marBottom w:val="0"/>
              <w:divBdr>
                <w:top w:val="none" w:sz="0" w:space="0" w:color="auto"/>
                <w:left w:val="none" w:sz="0" w:space="0" w:color="auto"/>
                <w:bottom w:val="none" w:sz="0" w:space="0" w:color="auto"/>
                <w:right w:val="none" w:sz="0" w:space="0" w:color="auto"/>
              </w:divBdr>
              <w:divsChild>
                <w:div w:id="194511609">
                  <w:marLeft w:val="0"/>
                  <w:marRight w:val="0"/>
                  <w:marTop w:val="0"/>
                  <w:marBottom w:val="0"/>
                  <w:divBdr>
                    <w:top w:val="none" w:sz="0" w:space="0" w:color="auto"/>
                    <w:left w:val="none" w:sz="0" w:space="0" w:color="auto"/>
                    <w:bottom w:val="none" w:sz="0" w:space="0" w:color="auto"/>
                    <w:right w:val="none" w:sz="0" w:space="0" w:color="auto"/>
                  </w:divBdr>
                  <w:divsChild>
                    <w:div w:id="1615602143">
                      <w:marLeft w:val="0"/>
                      <w:marRight w:val="0"/>
                      <w:marTop w:val="0"/>
                      <w:marBottom w:val="0"/>
                      <w:divBdr>
                        <w:top w:val="none" w:sz="0" w:space="0" w:color="auto"/>
                        <w:left w:val="none" w:sz="0" w:space="0" w:color="auto"/>
                        <w:bottom w:val="none" w:sz="0" w:space="0" w:color="auto"/>
                        <w:right w:val="none" w:sz="0" w:space="0" w:color="auto"/>
                      </w:divBdr>
                      <w:divsChild>
                        <w:div w:id="827751397">
                          <w:marLeft w:val="0"/>
                          <w:marRight w:val="0"/>
                          <w:marTop w:val="0"/>
                          <w:marBottom w:val="0"/>
                          <w:divBdr>
                            <w:top w:val="none" w:sz="0" w:space="0" w:color="auto"/>
                            <w:left w:val="none" w:sz="0" w:space="0" w:color="auto"/>
                            <w:bottom w:val="none" w:sz="0" w:space="0" w:color="auto"/>
                            <w:right w:val="none" w:sz="0" w:space="0" w:color="auto"/>
                          </w:divBdr>
                          <w:divsChild>
                            <w:div w:id="90201314">
                              <w:marLeft w:val="0"/>
                              <w:marRight w:val="0"/>
                              <w:marTop w:val="0"/>
                              <w:marBottom w:val="0"/>
                              <w:divBdr>
                                <w:top w:val="none" w:sz="0" w:space="0" w:color="auto"/>
                                <w:left w:val="none" w:sz="0" w:space="0" w:color="auto"/>
                                <w:bottom w:val="none" w:sz="0" w:space="0" w:color="auto"/>
                                <w:right w:val="none" w:sz="0" w:space="0" w:color="auto"/>
                              </w:divBdr>
                              <w:divsChild>
                                <w:div w:id="1860969213">
                                  <w:marLeft w:val="0"/>
                                  <w:marRight w:val="0"/>
                                  <w:marTop w:val="0"/>
                                  <w:marBottom w:val="0"/>
                                  <w:divBdr>
                                    <w:top w:val="none" w:sz="0" w:space="0" w:color="auto"/>
                                    <w:left w:val="none" w:sz="0" w:space="0" w:color="auto"/>
                                    <w:bottom w:val="none" w:sz="0" w:space="0" w:color="auto"/>
                                    <w:right w:val="none" w:sz="0" w:space="0" w:color="auto"/>
                                  </w:divBdr>
                                </w:div>
                                <w:div w:id="1744329614">
                                  <w:marLeft w:val="0"/>
                                  <w:marRight w:val="0"/>
                                  <w:marTop w:val="0"/>
                                  <w:marBottom w:val="0"/>
                                  <w:divBdr>
                                    <w:top w:val="none" w:sz="0" w:space="0" w:color="auto"/>
                                    <w:left w:val="none" w:sz="0" w:space="0" w:color="auto"/>
                                    <w:bottom w:val="none" w:sz="0" w:space="0" w:color="auto"/>
                                    <w:right w:val="none" w:sz="0" w:space="0" w:color="auto"/>
                                  </w:divBdr>
                                </w:div>
                              </w:divsChild>
                            </w:div>
                            <w:div w:id="1153332959">
                              <w:marLeft w:val="0"/>
                              <w:marRight w:val="0"/>
                              <w:marTop w:val="0"/>
                              <w:marBottom w:val="0"/>
                              <w:divBdr>
                                <w:top w:val="none" w:sz="0" w:space="0" w:color="auto"/>
                                <w:left w:val="none" w:sz="0" w:space="0" w:color="auto"/>
                                <w:bottom w:val="none" w:sz="0" w:space="0" w:color="auto"/>
                                <w:right w:val="none" w:sz="0" w:space="0" w:color="auto"/>
                              </w:divBdr>
                              <w:divsChild>
                                <w:div w:id="1877545753">
                                  <w:marLeft w:val="0"/>
                                  <w:marRight w:val="0"/>
                                  <w:marTop w:val="0"/>
                                  <w:marBottom w:val="0"/>
                                  <w:divBdr>
                                    <w:top w:val="none" w:sz="0" w:space="0" w:color="auto"/>
                                    <w:left w:val="none" w:sz="0" w:space="0" w:color="auto"/>
                                    <w:bottom w:val="none" w:sz="0" w:space="0" w:color="auto"/>
                                    <w:right w:val="none" w:sz="0" w:space="0" w:color="auto"/>
                                  </w:divBdr>
                                </w:div>
                              </w:divsChild>
                            </w:div>
                            <w:div w:id="1664116536">
                              <w:marLeft w:val="0"/>
                              <w:marRight w:val="0"/>
                              <w:marTop w:val="0"/>
                              <w:marBottom w:val="0"/>
                              <w:divBdr>
                                <w:top w:val="none" w:sz="0" w:space="0" w:color="auto"/>
                                <w:left w:val="none" w:sz="0" w:space="0" w:color="auto"/>
                                <w:bottom w:val="none" w:sz="0" w:space="0" w:color="auto"/>
                                <w:right w:val="none" w:sz="0" w:space="0" w:color="auto"/>
                              </w:divBdr>
                              <w:divsChild>
                                <w:div w:id="2121295912">
                                  <w:marLeft w:val="0"/>
                                  <w:marRight w:val="0"/>
                                  <w:marTop w:val="0"/>
                                  <w:marBottom w:val="0"/>
                                  <w:divBdr>
                                    <w:top w:val="none" w:sz="0" w:space="0" w:color="auto"/>
                                    <w:left w:val="none" w:sz="0" w:space="0" w:color="auto"/>
                                    <w:bottom w:val="none" w:sz="0" w:space="0" w:color="auto"/>
                                    <w:right w:val="none" w:sz="0" w:space="0" w:color="auto"/>
                                  </w:divBdr>
                                </w:div>
                                <w:div w:id="2045473074">
                                  <w:marLeft w:val="0"/>
                                  <w:marRight w:val="0"/>
                                  <w:marTop w:val="0"/>
                                  <w:marBottom w:val="0"/>
                                  <w:divBdr>
                                    <w:top w:val="none" w:sz="0" w:space="0" w:color="auto"/>
                                    <w:left w:val="none" w:sz="0" w:space="0" w:color="auto"/>
                                    <w:bottom w:val="none" w:sz="0" w:space="0" w:color="auto"/>
                                    <w:right w:val="none" w:sz="0" w:space="0" w:color="auto"/>
                                  </w:divBdr>
                                </w:div>
                                <w:div w:id="983855496">
                                  <w:marLeft w:val="0"/>
                                  <w:marRight w:val="0"/>
                                  <w:marTop w:val="0"/>
                                  <w:marBottom w:val="0"/>
                                  <w:divBdr>
                                    <w:top w:val="none" w:sz="0" w:space="0" w:color="auto"/>
                                    <w:left w:val="none" w:sz="0" w:space="0" w:color="auto"/>
                                    <w:bottom w:val="none" w:sz="0" w:space="0" w:color="auto"/>
                                    <w:right w:val="none" w:sz="0" w:space="0" w:color="auto"/>
                                  </w:divBdr>
                                </w:div>
                                <w:div w:id="598487888">
                                  <w:marLeft w:val="0"/>
                                  <w:marRight w:val="0"/>
                                  <w:marTop w:val="0"/>
                                  <w:marBottom w:val="0"/>
                                  <w:divBdr>
                                    <w:top w:val="none" w:sz="0" w:space="0" w:color="auto"/>
                                    <w:left w:val="none" w:sz="0" w:space="0" w:color="auto"/>
                                    <w:bottom w:val="none" w:sz="0" w:space="0" w:color="auto"/>
                                    <w:right w:val="none" w:sz="0" w:space="0" w:color="auto"/>
                                  </w:divBdr>
                                </w:div>
                                <w:div w:id="863515434">
                                  <w:marLeft w:val="0"/>
                                  <w:marRight w:val="0"/>
                                  <w:marTop w:val="0"/>
                                  <w:marBottom w:val="0"/>
                                  <w:divBdr>
                                    <w:top w:val="none" w:sz="0" w:space="0" w:color="auto"/>
                                    <w:left w:val="none" w:sz="0" w:space="0" w:color="auto"/>
                                    <w:bottom w:val="none" w:sz="0" w:space="0" w:color="auto"/>
                                    <w:right w:val="none" w:sz="0" w:space="0" w:color="auto"/>
                                  </w:divBdr>
                                  <w:divsChild>
                                    <w:div w:id="444230986">
                                      <w:marLeft w:val="0"/>
                                      <w:marRight w:val="0"/>
                                      <w:marTop w:val="0"/>
                                      <w:marBottom w:val="0"/>
                                      <w:divBdr>
                                        <w:top w:val="none" w:sz="0" w:space="0" w:color="auto"/>
                                        <w:left w:val="none" w:sz="0" w:space="0" w:color="auto"/>
                                        <w:bottom w:val="none" w:sz="0" w:space="0" w:color="auto"/>
                                        <w:right w:val="none" w:sz="0" w:space="0" w:color="auto"/>
                                      </w:divBdr>
                                    </w:div>
                                    <w:div w:id="1526284020">
                                      <w:marLeft w:val="0"/>
                                      <w:marRight w:val="0"/>
                                      <w:marTop w:val="0"/>
                                      <w:marBottom w:val="0"/>
                                      <w:divBdr>
                                        <w:top w:val="none" w:sz="0" w:space="0" w:color="auto"/>
                                        <w:left w:val="none" w:sz="0" w:space="0" w:color="auto"/>
                                        <w:bottom w:val="none" w:sz="0" w:space="0" w:color="auto"/>
                                        <w:right w:val="none" w:sz="0" w:space="0" w:color="auto"/>
                                      </w:divBdr>
                                    </w:div>
                                  </w:divsChild>
                                </w:div>
                                <w:div w:id="1796437911">
                                  <w:marLeft w:val="0"/>
                                  <w:marRight w:val="0"/>
                                  <w:marTop w:val="0"/>
                                  <w:marBottom w:val="0"/>
                                  <w:divBdr>
                                    <w:top w:val="none" w:sz="0" w:space="0" w:color="auto"/>
                                    <w:left w:val="none" w:sz="0" w:space="0" w:color="auto"/>
                                    <w:bottom w:val="none" w:sz="0" w:space="0" w:color="auto"/>
                                    <w:right w:val="none" w:sz="0" w:space="0" w:color="auto"/>
                                  </w:divBdr>
                                </w:div>
                                <w:div w:id="239221136">
                                  <w:marLeft w:val="0"/>
                                  <w:marRight w:val="0"/>
                                  <w:marTop w:val="0"/>
                                  <w:marBottom w:val="0"/>
                                  <w:divBdr>
                                    <w:top w:val="none" w:sz="0" w:space="0" w:color="auto"/>
                                    <w:left w:val="none" w:sz="0" w:space="0" w:color="auto"/>
                                    <w:bottom w:val="none" w:sz="0" w:space="0" w:color="auto"/>
                                    <w:right w:val="none" w:sz="0" w:space="0" w:color="auto"/>
                                  </w:divBdr>
                                </w:div>
                              </w:divsChild>
                            </w:div>
                            <w:div w:id="59014158">
                              <w:marLeft w:val="0"/>
                              <w:marRight w:val="0"/>
                              <w:marTop w:val="0"/>
                              <w:marBottom w:val="0"/>
                              <w:divBdr>
                                <w:top w:val="none" w:sz="0" w:space="0" w:color="auto"/>
                                <w:left w:val="none" w:sz="0" w:space="0" w:color="auto"/>
                                <w:bottom w:val="none" w:sz="0" w:space="0" w:color="auto"/>
                                <w:right w:val="none" w:sz="0" w:space="0" w:color="auto"/>
                              </w:divBdr>
                            </w:div>
                            <w:div w:id="1410426725">
                              <w:marLeft w:val="0"/>
                              <w:marRight w:val="0"/>
                              <w:marTop w:val="0"/>
                              <w:marBottom w:val="0"/>
                              <w:divBdr>
                                <w:top w:val="none" w:sz="0" w:space="0" w:color="auto"/>
                                <w:left w:val="none" w:sz="0" w:space="0" w:color="auto"/>
                                <w:bottom w:val="none" w:sz="0" w:space="0" w:color="auto"/>
                                <w:right w:val="none" w:sz="0" w:space="0" w:color="auto"/>
                              </w:divBdr>
                            </w:div>
                            <w:div w:id="1007439804">
                              <w:marLeft w:val="0"/>
                              <w:marRight w:val="0"/>
                              <w:marTop w:val="0"/>
                              <w:marBottom w:val="0"/>
                              <w:divBdr>
                                <w:top w:val="none" w:sz="0" w:space="0" w:color="auto"/>
                                <w:left w:val="none" w:sz="0" w:space="0" w:color="auto"/>
                                <w:bottom w:val="none" w:sz="0" w:space="0" w:color="auto"/>
                                <w:right w:val="none" w:sz="0" w:space="0" w:color="auto"/>
                              </w:divBdr>
                            </w:div>
                            <w:div w:id="2133397523">
                              <w:marLeft w:val="0"/>
                              <w:marRight w:val="0"/>
                              <w:marTop w:val="0"/>
                              <w:marBottom w:val="0"/>
                              <w:divBdr>
                                <w:top w:val="none" w:sz="0" w:space="0" w:color="auto"/>
                                <w:left w:val="none" w:sz="0" w:space="0" w:color="auto"/>
                                <w:bottom w:val="none" w:sz="0" w:space="0" w:color="auto"/>
                                <w:right w:val="none" w:sz="0" w:space="0" w:color="auto"/>
                              </w:divBdr>
                              <w:divsChild>
                                <w:div w:id="287858511">
                                  <w:marLeft w:val="0"/>
                                  <w:marRight w:val="0"/>
                                  <w:marTop w:val="0"/>
                                  <w:marBottom w:val="0"/>
                                  <w:divBdr>
                                    <w:top w:val="none" w:sz="0" w:space="0" w:color="auto"/>
                                    <w:left w:val="none" w:sz="0" w:space="0" w:color="auto"/>
                                    <w:bottom w:val="none" w:sz="0" w:space="0" w:color="auto"/>
                                    <w:right w:val="none" w:sz="0" w:space="0" w:color="auto"/>
                                  </w:divBdr>
                                </w:div>
                                <w:div w:id="2144498265">
                                  <w:marLeft w:val="0"/>
                                  <w:marRight w:val="0"/>
                                  <w:marTop w:val="0"/>
                                  <w:marBottom w:val="0"/>
                                  <w:divBdr>
                                    <w:top w:val="none" w:sz="0" w:space="0" w:color="auto"/>
                                    <w:left w:val="none" w:sz="0" w:space="0" w:color="auto"/>
                                    <w:bottom w:val="none" w:sz="0" w:space="0" w:color="auto"/>
                                    <w:right w:val="none" w:sz="0" w:space="0" w:color="auto"/>
                                  </w:divBdr>
                                </w:div>
                                <w:div w:id="1576434490">
                                  <w:marLeft w:val="0"/>
                                  <w:marRight w:val="0"/>
                                  <w:marTop w:val="0"/>
                                  <w:marBottom w:val="0"/>
                                  <w:divBdr>
                                    <w:top w:val="none" w:sz="0" w:space="0" w:color="auto"/>
                                    <w:left w:val="none" w:sz="0" w:space="0" w:color="auto"/>
                                    <w:bottom w:val="none" w:sz="0" w:space="0" w:color="auto"/>
                                    <w:right w:val="none" w:sz="0" w:space="0" w:color="auto"/>
                                  </w:divBdr>
                                </w:div>
                              </w:divsChild>
                            </w:div>
                            <w:div w:id="2037341381">
                              <w:marLeft w:val="0"/>
                              <w:marRight w:val="0"/>
                              <w:marTop w:val="0"/>
                              <w:marBottom w:val="0"/>
                              <w:divBdr>
                                <w:top w:val="none" w:sz="0" w:space="0" w:color="auto"/>
                                <w:left w:val="none" w:sz="0" w:space="0" w:color="auto"/>
                                <w:bottom w:val="none" w:sz="0" w:space="0" w:color="auto"/>
                                <w:right w:val="none" w:sz="0" w:space="0" w:color="auto"/>
                              </w:divBdr>
                              <w:divsChild>
                                <w:div w:id="675618297">
                                  <w:marLeft w:val="0"/>
                                  <w:marRight w:val="0"/>
                                  <w:marTop w:val="0"/>
                                  <w:marBottom w:val="0"/>
                                  <w:divBdr>
                                    <w:top w:val="none" w:sz="0" w:space="0" w:color="auto"/>
                                    <w:left w:val="none" w:sz="0" w:space="0" w:color="auto"/>
                                    <w:bottom w:val="none" w:sz="0" w:space="0" w:color="auto"/>
                                    <w:right w:val="none" w:sz="0" w:space="0" w:color="auto"/>
                                  </w:divBdr>
                                </w:div>
                              </w:divsChild>
                            </w:div>
                            <w:div w:id="2114544695">
                              <w:marLeft w:val="0"/>
                              <w:marRight w:val="0"/>
                              <w:marTop w:val="0"/>
                              <w:marBottom w:val="0"/>
                              <w:divBdr>
                                <w:top w:val="none" w:sz="0" w:space="0" w:color="auto"/>
                                <w:left w:val="none" w:sz="0" w:space="0" w:color="auto"/>
                                <w:bottom w:val="none" w:sz="0" w:space="0" w:color="auto"/>
                                <w:right w:val="none" w:sz="0" w:space="0" w:color="auto"/>
                              </w:divBdr>
                              <w:divsChild>
                                <w:div w:id="195854168">
                                  <w:marLeft w:val="0"/>
                                  <w:marRight w:val="0"/>
                                  <w:marTop w:val="166"/>
                                  <w:marBottom w:val="166"/>
                                  <w:divBdr>
                                    <w:top w:val="none" w:sz="0" w:space="0" w:color="auto"/>
                                    <w:left w:val="none" w:sz="0" w:space="0" w:color="auto"/>
                                    <w:bottom w:val="none" w:sz="0" w:space="0" w:color="auto"/>
                                    <w:right w:val="none" w:sz="0" w:space="0" w:color="auto"/>
                                  </w:divBdr>
                                </w:div>
                              </w:divsChild>
                            </w:div>
                            <w:div w:id="370308489">
                              <w:marLeft w:val="0"/>
                              <w:marRight w:val="0"/>
                              <w:marTop w:val="0"/>
                              <w:marBottom w:val="0"/>
                              <w:divBdr>
                                <w:top w:val="none" w:sz="0" w:space="0" w:color="auto"/>
                                <w:left w:val="none" w:sz="0" w:space="0" w:color="auto"/>
                                <w:bottom w:val="none" w:sz="0" w:space="0" w:color="auto"/>
                                <w:right w:val="none" w:sz="0" w:space="0" w:color="auto"/>
                              </w:divBdr>
                              <w:divsChild>
                                <w:div w:id="41609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48307">
                          <w:marLeft w:val="0"/>
                          <w:marRight w:val="0"/>
                          <w:marTop w:val="332"/>
                          <w:marBottom w:val="332"/>
                          <w:divBdr>
                            <w:top w:val="none" w:sz="0" w:space="0" w:color="auto"/>
                            <w:left w:val="none" w:sz="0" w:space="0" w:color="auto"/>
                            <w:bottom w:val="none" w:sz="0" w:space="0" w:color="auto"/>
                            <w:right w:val="none" w:sz="0" w:space="0" w:color="auto"/>
                          </w:divBdr>
                          <w:divsChild>
                            <w:div w:id="526530450">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sChild>
                </w:div>
              </w:divsChild>
            </w:div>
            <w:div w:id="1488866551">
              <w:marLeft w:val="0"/>
              <w:marRight w:val="-90"/>
              <w:marTop w:val="0"/>
              <w:marBottom w:val="0"/>
              <w:divBdr>
                <w:top w:val="none" w:sz="0" w:space="0" w:color="auto"/>
                <w:left w:val="none" w:sz="0" w:space="0" w:color="auto"/>
                <w:bottom w:val="none" w:sz="0" w:space="0" w:color="auto"/>
                <w:right w:val="none" w:sz="0" w:space="0" w:color="auto"/>
              </w:divBdr>
              <w:divsChild>
                <w:div w:id="948240602">
                  <w:marLeft w:val="0"/>
                  <w:marRight w:val="0"/>
                  <w:marTop w:val="0"/>
                  <w:marBottom w:val="0"/>
                  <w:divBdr>
                    <w:top w:val="none" w:sz="0" w:space="0" w:color="auto"/>
                    <w:left w:val="none" w:sz="0" w:space="0" w:color="auto"/>
                    <w:bottom w:val="none" w:sz="0" w:space="0" w:color="auto"/>
                    <w:right w:val="none" w:sz="0" w:space="0" w:color="auto"/>
                  </w:divBdr>
                  <w:divsChild>
                    <w:div w:id="892229363">
                      <w:marLeft w:val="0"/>
                      <w:marRight w:val="0"/>
                      <w:marTop w:val="0"/>
                      <w:marBottom w:val="240"/>
                      <w:divBdr>
                        <w:top w:val="none" w:sz="0" w:space="0" w:color="auto"/>
                        <w:left w:val="none" w:sz="0" w:space="0" w:color="auto"/>
                        <w:bottom w:val="none" w:sz="0" w:space="0" w:color="auto"/>
                        <w:right w:val="none" w:sz="0" w:space="0" w:color="auto"/>
                      </w:divBdr>
                    </w:div>
                  </w:divsChild>
                </w:div>
                <w:div w:id="1020275045">
                  <w:marLeft w:val="0"/>
                  <w:marRight w:val="0"/>
                  <w:marTop w:val="0"/>
                  <w:marBottom w:val="0"/>
                  <w:divBdr>
                    <w:top w:val="none" w:sz="0" w:space="0" w:color="auto"/>
                    <w:left w:val="none" w:sz="0" w:space="0" w:color="auto"/>
                    <w:bottom w:val="none" w:sz="0" w:space="0" w:color="auto"/>
                    <w:right w:val="none" w:sz="0" w:space="0" w:color="auto"/>
                  </w:divBdr>
                </w:div>
                <w:div w:id="1909607692">
                  <w:marLeft w:val="0"/>
                  <w:marRight w:val="0"/>
                  <w:marTop w:val="0"/>
                  <w:marBottom w:val="0"/>
                  <w:divBdr>
                    <w:top w:val="none" w:sz="0" w:space="0" w:color="auto"/>
                    <w:left w:val="none" w:sz="0" w:space="0" w:color="auto"/>
                    <w:bottom w:val="none" w:sz="0" w:space="0" w:color="auto"/>
                    <w:right w:val="none" w:sz="0" w:space="0" w:color="auto"/>
                  </w:divBdr>
                  <w:divsChild>
                    <w:div w:id="189271507">
                      <w:marLeft w:val="0"/>
                      <w:marRight w:val="0"/>
                      <w:marTop w:val="0"/>
                      <w:marBottom w:val="517"/>
                      <w:divBdr>
                        <w:top w:val="single" w:sz="36" w:space="6" w:color="97B0C8"/>
                        <w:left w:val="none" w:sz="0" w:space="0" w:color="auto"/>
                        <w:bottom w:val="none" w:sz="0" w:space="0" w:color="auto"/>
                        <w:right w:val="none" w:sz="0" w:space="0" w:color="auto"/>
                      </w:divBdr>
                      <w:divsChild>
                        <w:div w:id="140462059">
                          <w:marLeft w:val="0"/>
                          <w:marRight w:val="0"/>
                          <w:marTop w:val="0"/>
                          <w:marBottom w:val="111"/>
                          <w:divBdr>
                            <w:top w:val="none" w:sz="0" w:space="0" w:color="auto"/>
                            <w:left w:val="none" w:sz="0" w:space="0" w:color="auto"/>
                            <w:bottom w:val="none" w:sz="0" w:space="0" w:color="auto"/>
                            <w:right w:val="none" w:sz="0" w:space="0" w:color="auto"/>
                          </w:divBdr>
                          <w:divsChild>
                            <w:div w:id="648287954">
                              <w:marLeft w:val="0"/>
                              <w:marRight w:val="480"/>
                              <w:marTop w:val="0"/>
                              <w:marBottom w:val="0"/>
                              <w:divBdr>
                                <w:top w:val="none" w:sz="0" w:space="0" w:color="auto"/>
                                <w:left w:val="none" w:sz="0" w:space="0" w:color="auto"/>
                                <w:bottom w:val="none" w:sz="0" w:space="0" w:color="auto"/>
                                <w:right w:val="none" w:sz="0" w:space="0" w:color="auto"/>
                              </w:divBdr>
                            </w:div>
                          </w:divsChild>
                        </w:div>
                        <w:div w:id="1860587402">
                          <w:marLeft w:val="0"/>
                          <w:marRight w:val="0"/>
                          <w:marTop w:val="0"/>
                          <w:marBottom w:val="0"/>
                          <w:divBdr>
                            <w:top w:val="none" w:sz="0" w:space="0" w:color="auto"/>
                            <w:left w:val="none" w:sz="0" w:space="0" w:color="auto"/>
                            <w:bottom w:val="none" w:sz="0" w:space="0" w:color="auto"/>
                            <w:right w:val="none" w:sz="0" w:space="0" w:color="auto"/>
                          </w:divBdr>
                          <w:divsChild>
                            <w:div w:id="1281573972">
                              <w:marLeft w:val="0"/>
                              <w:marRight w:val="0"/>
                              <w:marTop w:val="0"/>
                              <w:marBottom w:val="0"/>
                              <w:divBdr>
                                <w:top w:val="none" w:sz="0" w:space="0" w:color="auto"/>
                                <w:left w:val="none" w:sz="0" w:space="0" w:color="auto"/>
                                <w:bottom w:val="none" w:sz="0" w:space="0" w:color="auto"/>
                                <w:right w:val="none" w:sz="0" w:space="0" w:color="auto"/>
                              </w:divBdr>
                              <w:divsChild>
                                <w:div w:id="946932098">
                                  <w:marLeft w:val="0"/>
                                  <w:marRight w:val="0"/>
                                  <w:marTop w:val="0"/>
                                  <w:marBottom w:val="0"/>
                                  <w:divBdr>
                                    <w:top w:val="none" w:sz="0" w:space="0" w:color="auto"/>
                                    <w:left w:val="none" w:sz="0" w:space="0" w:color="auto"/>
                                    <w:bottom w:val="none" w:sz="0" w:space="0" w:color="auto"/>
                                    <w:right w:val="none" w:sz="0" w:space="0" w:color="auto"/>
                                  </w:divBdr>
                                  <w:divsChild>
                                    <w:div w:id="1426993484">
                                      <w:marLeft w:val="0"/>
                                      <w:marRight w:val="0"/>
                                      <w:marTop w:val="0"/>
                                      <w:marBottom w:val="0"/>
                                      <w:divBdr>
                                        <w:top w:val="none" w:sz="0" w:space="0" w:color="auto"/>
                                        <w:left w:val="none" w:sz="0" w:space="0" w:color="auto"/>
                                        <w:bottom w:val="none" w:sz="0" w:space="0" w:color="auto"/>
                                        <w:right w:val="none" w:sz="0" w:space="0" w:color="auto"/>
                                      </w:divBdr>
                                      <w:divsChild>
                                        <w:div w:id="330915225">
                                          <w:marLeft w:val="0"/>
                                          <w:marRight w:val="0"/>
                                          <w:marTop w:val="0"/>
                                          <w:marBottom w:val="0"/>
                                          <w:divBdr>
                                            <w:top w:val="single" w:sz="6" w:space="0" w:color="CBCBCB"/>
                                            <w:left w:val="single" w:sz="6" w:space="0" w:color="CBCBCB"/>
                                            <w:bottom w:val="single" w:sz="6" w:space="0" w:color="CBCBCB"/>
                                            <w:right w:val="single" w:sz="6" w:space="0" w:color="CBCBCB"/>
                                          </w:divBdr>
                                        </w:div>
                                      </w:divsChild>
                                    </w:div>
                                  </w:divsChild>
                                </w:div>
                              </w:divsChild>
                            </w:div>
                          </w:divsChild>
                        </w:div>
                      </w:divsChild>
                    </w:div>
                    <w:div w:id="1952935576">
                      <w:marLeft w:val="0"/>
                      <w:marRight w:val="0"/>
                      <w:marTop w:val="0"/>
                      <w:marBottom w:val="517"/>
                      <w:divBdr>
                        <w:top w:val="single" w:sz="36" w:space="6" w:color="97B0C8"/>
                        <w:left w:val="none" w:sz="0" w:space="0" w:color="auto"/>
                        <w:bottom w:val="none" w:sz="0" w:space="0" w:color="auto"/>
                        <w:right w:val="none" w:sz="0" w:space="0" w:color="auto"/>
                      </w:divBdr>
                      <w:divsChild>
                        <w:div w:id="1881937970">
                          <w:marLeft w:val="0"/>
                          <w:marRight w:val="0"/>
                          <w:marTop w:val="0"/>
                          <w:marBottom w:val="111"/>
                          <w:divBdr>
                            <w:top w:val="none" w:sz="0" w:space="0" w:color="auto"/>
                            <w:left w:val="none" w:sz="0" w:space="0" w:color="auto"/>
                            <w:bottom w:val="none" w:sz="0" w:space="0" w:color="auto"/>
                            <w:right w:val="none" w:sz="0" w:space="0" w:color="auto"/>
                          </w:divBdr>
                          <w:divsChild>
                            <w:div w:id="1775435926">
                              <w:marLeft w:val="0"/>
                              <w:marRight w:val="480"/>
                              <w:marTop w:val="0"/>
                              <w:marBottom w:val="0"/>
                              <w:divBdr>
                                <w:top w:val="none" w:sz="0" w:space="0" w:color="auto"/>
                                <w:left w:val="none" w:sz="0" w:space="0" w:color="auto"/>
                                <w:bottom w:val="none" w:sz="0" w:space="0" w:color="auto"/>
                                <w:right w:val="none" w:sz="0" w:space="0" w:color="auto"/>
                              </w:divBdr>
                            </w:div>
                          </w:divsChild>
                        </w:div>
                        <w:div w:id="1244414029">
                          <w:marLeft w:val="0"/>
                          <w:marRight w:val="0"/>
                          <w:marTop w:val="0"/>
                          <w:marBottom w:val="0"/>
                          <w:divBdr>
                            <w:top w:val="none" w:sz="0" w:space="0" w:color="auto"/>
                            <w:left w:val="none" w:sz="0" w:space="0" w:color="auto"/>
                            <w:bottom w:val="none" w:sz="0" w:space="0" w:color="auto"/>
                            <w:right w:val="none" w:sz="0" w:space="0" w:color="auto"/>
                          </w:divBdr>
                          <w:divsChild>
                            <w:div w:id="109741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81694">
                      <w:marLeft w:val="0"/>
                      <w:marRight w:val="0"/>
                      <w:marTop w:val="0"/>
                      <w:marBottom w:val="517"/>
                      <w:divBdr>
                        <w:top w:val="single" w:sz="36" w:space="6" w:color="97B0C8"/>
                        <w:left w:val="none" w:sz="0" w:space="0" w:color="auto"/>
                        <w:bottom w:val="none" w:sz="0" w:space="0" w:color="auto"/>
                        <w:right w:val="none" w:sz="0" w:space="0" w:color="auto"/>
                      </w:divBdr>
                      <w:divsChild>
                        <w:div w:id="205683149">
                          <w:marLeft w:val="0"/>
                          <w:marRight w:val="0"/>
                          <w:marTop w:val="0"/>
                          <w:marBottom w:val="111"/>
                          <w:divBdr>
                            <w:top w:val="none" w:sz="0" w:space="0" w:color="auto"/>
                            <w:left w:val="none" w:sz="0" w:space="0" w:color="auto"/>
                            <w:bottom w:val="none" w:sz="0" w:space="0" w:color="auto"/>
                            <w:right w:val="none" w:sz="0" w:space="0" w:color="auto"/>
                          </w:divBdr>
                          <w:divsChild>
                            <w:div w:id="1792478543">
                              <w:marLeft w:val="0"/>
                              <w:marRight w:val="480"/>
                              <w:marTop w:val="0"/>
                              <w:marBottom w:val="0"/>
                              <w:divBdr>
                                <w:top w:val="none" w:sz="0" w:space="0" w:color="auto"/>
                                <w:left w:val="none" w:sz="0" w:space="0" w:color="auto"/>
                                <w:bottom w:val="none" w:sz="0" w:space="0" w:color="auto"/>
                                <w:right w:val="none" w:sz="0" w:space="0" w:color="auto"/>
                              </w:divBdr>
                            </w:div>
                          </w:divsChild>
                        </w:div>
                        <w:div w:id="1604336987">
                          <w:marLeft w:val="0"/>
                          <w:marRight w:val="0"/>
                          <w:marTop w:val="0"/>
                          <w:marBottom w:val="0"/>
                          <w:divBdr>
                            <w:top w:val="none" w:sz="0" w:space="0" w:color="auto"/>
                            <w:left w:val="none" w:sz="0" w:space="0" w:color="auto"/>
                            <w:bottom w:val="none" w:sz="0" w:space="0" w:color="auto"/>
                            <w:right w:val="none" w:sz="0" w:space="0" w:color="auto"/>
                          </w:divBdr>
                          <w:divsChild>
                            <w:div w:id="166215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14650">
                      <w:marLeft w:val="0"/>
                      <w:marRight w:val="0"/>
                      <w:marTop w:val="0"/>
                      <w:marBottom w:val="517"/>
                      <w:divBdr>
                        <w:top w:val="single" w:sz="36" w:space="6" w:color="97B0C8"/>
                        <w:left w:val="none" w:sz="0" w:space="0" w:color="auto"/>
                        <w:bottom w:val="none" w:sz="0" w:space="0" w:color="auto"/>
                        <w:right w:val="none" w:sz="0" w:space="0" w:color="auto"/>
                      </w:divBdr>
                      <w:divsChild>
                        <w:div w:id="1397240943">
                          <w:marLeft w:val="0"/>
                          <w:marRight w:val="0"/>
                          <w:marTop w:val="0"/>
                          <w:marBottom w:val="111"/>
                          <w:divBdr>
                            <w:top w:val="none" w:sz="0" w:space="0" w:color="auto"/>
                            <w:left w:val="none" w:sz="0" w:space="0" w:color="auto"/>
                            <w:bottom w:val="none" w:sz="0" w:space="0" w:color="auto"/>
                            <w:right w:val="none" w:sz="0" w:space="0" w:color="auto"/>
                          </w:divBdr>
                          <w:divsChild>
                            <w:div w:id="1175849600">
                              <w:marLeft w:val="0"/>
                              <w:marRight w:val="480"/>
                              <w:marTop w:val="0"/>
                              <w:marBottom w:val="0"/>
                              <w:divBdr>
                                <w:top w:val="none" w:sz="0" w:space="0" w:color="auto"/>
                                <w:left w:val="none" w:sz="0" w:space="0" w:color="auto"/>
                                <w:bottom w:val="none" w:sz="0" w:space="0" w:color="auto"/>
                                <w:right w:val="none" w:sz="0" w:space="0" w:color="auto"/>
                              </w:divBdr>
                            </w:div>
                          </w:divsChild>
                        </w:div>
                        <w:div w:id="1277979768">
                          <w:marLeft w:val="0"/>
                          <w:marRight w:val="0"/>
                          <w:marTop w:val="0"/>
                          <w:marBottom w:val="0"/>
                          <w:divBdr>
                            <w:top w:val="none" w:sz="0" w:space="0" w:color="auto"/>
                            <w:left w:val="none" w:sz="0" w:space="0" w:color="auto"/>
                            <w:bottom w:val="none" w:sz="0" w:space="0" w:color="auto"/>
                            <w:right w:val="none" w:sz="0" w:space="0" w:color="auto"/>
                          </w:divBdr>
                          <w:divsChild>
                            <w:div w:id="105160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73603">
                      <w:marLeft w:val="0"/>
                      <w:marRight w:val="0"/>
                      <w:marTop w:val="0"/>
                      <w:marBottom w:val="517"/>
                      <w:divBdr>
                        <w:top w:val="single" w:sz="36" w:space="6" w:color="97B0C8"/>
                        <w:left w:val="none" w:sz="0" w:space="0" w:color="auto"/>
                        <w:bottom w:val="none" w:sz="0" w:space="0" w:color="auto"/>
                        <w:right w:val="none" w:sz="0" w:space="0" w:color="auto"/>
                      </w:divBdr>
                      <w:divsChild>
                        <w:div w:id="419330863">
                          <w:marLeft w:val="0"/>
                          <w:marRight w:val="0"/>
                          <w:marTop w:val="0"/>
                          <w:marBottom w:val="111"/>
                          <w:divBdr>
                            <w:top w:val="none" w:sz="0" w:space="0" w:color="auto"/>
                            <w:left w:val="none" w:sz="0" w:space="0" w:color="auto"/>
                            <w:bottom w:val="none" w:sz="0" w:space="0" w:color="auto"/>
                            <w:right w:val="none" w:sz="0" w:space="0" w:color="auto"/>
                          </w:divBdr>
                          <w:divsChild>
                            <w:div w:id="5252296">
                              <w:marLeft w:val="0"/>
                              <w:marRight w:val="480"/>
                              <w:marTop w:val="0"/>
                              <w:marBottom w:val="0"/>
                              <w:divBdr>
                                <w:top w:val="none" w:sz="0" w:space="0" w:color="auto"/>
                                <w:left w:val="none" w:sz="0" w:space="0" w:color="auto"/>
                                <w:bottom w:val="none" w:sz="0" w:space="0" w:color="auto"/>
                                <w:right w:val="none" w:sz="0" w:space="0" w:color="auto"/>
                              </w:divBdr>
                            </w:div>
                          </w:divsChild>
                        </w:div>
                        <w:div w:id="1091975910">
                          <w:marLeft w:val="0"/>
                          <w:marRight w:val="0"/>
                          <w:marTop w:val="0"/>
                          <w:marBottom w:val="0"/>
                          <w:divBdr>
                            <w:top w:val="none" w:sz="0" w:space="0" w:color="auto"/>
                            <w:left w:val="none" w:sz="0" w:space="0" w:color="auto"/>
                            <w:bottom w:val="none" w:sz="0" w:space="0" w:color="auto"/>
                            <w:right w:val="none" w:sz="0" w:space="0" w:color="auto"/>
                          </w:divBdr>
                          <w:divsChild>
                            <w:div w:id="634528458">
                              <w:marLeft w:val="0"/>
                              <w:marRight w:val="0"/>
                              <w:marTop w:val="0"/>
                              <w:marBottom w:val="0"/>
                              <w:divBdr>
                                <w:top w:val="none" w:sz="0" w:space="0" w:color="auto"/>
                                <w:left w:val="none" w:sz="0" w:space="0" w:color="auto"/>
                                <w:bottom w:val="none" w:sz="0" w:space="0" w:color="auto"/>
                                <w:right w:val="none" w:sz="0" w:space="0" w:color="auto"/>
                              </w:divBdr>
                              <w:divsChild>
                                <w:div w:id="772632915">
                                  <w:marLeft w:val="0"/>
                                  <w:marRight w:val="0"/>
                                  <w:marTop w:val="0"/>
                                  <w:marBottom w:val="0"/>
                                  <w:divBdr>
                                    <w:top w:val="none" w:sz="0" w:space="0" w:color="auto"/>
                                    <w:left w:val="none" w:sz="0" w:space="0" w:color="auto"/>
                                    <w:bottom w:val="none" w:sz="0" w:space="0" w:color="auto"/>
                                    <w:right w:val="none" w:sz="0" w:space="0" w:color="auto"/>
                                  </w:divBdr>
                                  <w:divsChild>
                                    <w:div w:id="1939676498">
                                      <w:marLeft w:val="0"/>
                                      <w:marRight w:val="0"/>
                                      <w:marTop w:val="0"/>
                                      <w:marBottom w:val="0"/>
                                      <w:divBdr>
                                        <w:top w:val="none" w:sz="0" w:space="0" w:color="auto"/>
                                        <w:left w:val="none" w:sz="0" w:space="0" w:color="auto"/>
                                        <w:bottom w:val="none" w:sz="0" w:space="0" w:color="auto"/>
                                        <w:right w:val="none" w:sz="0" w:space="0" w:color="auto"/>
                                      </w:divBdr>
                                    </w:div>
                                    <w:div w:id="1957710871">
                                      <w:marLeft w:val="0"/>
                                      <w:marRight w:val="0"/>
                                      <w:marTop w:val="0"/>
                                      <w:marBottom w:val="0"/>
                                      <w:divBdr>
                                        <w:top w:val="none" w:sz="0" w:space="0" w:color="auto"/>
                                        <w:left w:val="none" w:sz="0" w:space="0" w:color="auto"/>
                                        <w:bottom w:val="none" w:sz="0" w:space="0" w:color="auto"/>
                                        <w:right w:val="none" w:sz="0" w:space="0" w:color="auto"/>
                                      </w:divBdr>
                                      <w:divsChild>
                                        <w:div w:id="838230753">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3373951">
                      <w:marLeft w:val="0"/>
                      <w:marRight w:val="0"/>
                      <w:marTop w:val="0"/>
                      <w:marBottom w:val="0"/>
                      <w:divBdr>
                        <w:top w:val="none" w:sz="0" w:space="0" w:color="auto"/>
                        <w:left w:val="none" w:sz="0" w:space="0" w:color="auto"/>
                        <w:bottom w:val="none" w:sz="0" w:space="0" w:color="auto"/>
                        <w:right w:val="none" w:sz="0" w:space="0" w:color="auto"/>
                      </w:divBdr>
                      <w:divsChild>
                        <w:div w:id="154107556">
                          <w:marLeft w:val="0"/>
                          <w:marRight w:val="0"/>
                          <w:marTop w:val="0"/>
                          <w:marBottom w:val="517"/>
                          <w:divBdr>
                            <w:top w:val="single" w:sz="6" w:space="3" w:color="000000"/>
                            <w:left w:val="single" w:sz="12" w:space="3" w:color="FFFFFF"/>
                            <w:bottom w:val="single" w:sz="12" w:space="3" w:color="FFFFFF"/>
                            <w:right w:val="single" w:sz="12" w:space="3" w:color="FFFFFF"/>
                          </w:divBdr>
                          <w:divsChild>
                            <w:div w:id="785195090">
                              <w:marLeft w:val="0"/>
                              <w:marRight w:val="0"/>
                              <w:marTop w:val="0"/>
                              <w:marBottom w:val="0"/>
                              <w:divBdr>
                                <w:top w:val="none" w:sz="0" w:space="0" w:color="auto"/>
                                <w:left w:val="none" w:sz="0" w:space="0" w:color="auto"/>
                                <w:bottom w:val="none" w:sz="0" w:space="0" w:color="auto"/>
                                <w:right w:val="none" w:sz="0" w:space="0" w:color="auto"/>
                              </w:divBdr>
                            </w:div>
                          </w:divsChild>
                        </w:div>
                        <w:div w:id="1849589191">
                          <w:marLeft w:val="0"/>
                          <w:marRight w:val="0"/>
                          <w:marTop w:val="0"/>
                          <w:marBottom w:val="517"/>
                          <w:divBdr>
                            <w:top w:val="single" w:sz="6" w:space="3" w:color="000000"/>
                            <w:left w:val="single" w:sz="12" w:space="3" w:color="FFFFFF"/>
                            <w:bottom w:val="single" w:sz="12" w:space="3" w:color="FFFFFF"/>
                            <w:right w:val="single" w:sz="12" w:space="3" w:color="FFFFFF"/>
                          </w:divBdr>
                          <w:divsChild>
                            <w:div w:id="548692241">
                              <w:marLeft w:val="0"/>
                              <w:marRight w:val="0"/>
                              <w:marTop w:val="0"/>
                              <w:marBottom w:val="0"/>
                              <w:divBdr>
                                <w:top w:val="none" w:sz="0" w:space="0" w:color="auto"/>
                                <w:left w:val="none" w:sz="0" w:space="0" w:color="auto"/>
                                <w:bottom w:val="none" w:sz="0" w:space="0" w:color="auto"/>
                                <w:right w:val="none" w:sz="0" w:space="0" w:color="auto"/>
                              </w:divBdr>
                            </w:div>
                          </w:divsChild>
                        </w:div>
                        <w:div w:id="470291704">
                          <w:marLeft w:val="0"/>
                          <w:marRight w:val="0"/>
                          <w:marTop w:val="0"/>
                          <w:marBottom w:val="517"/>
                          <w:divBdr>
                            <w:top w:val="single" w:sz="6" w:space="3" w:color="000000"/>
                            <w:left w:val="single" w:sz="12" w:space="3" w:color="FFFFFF"/>
                            <w:bottom w:val="single" w:sz="12" w:space="3" w:color="FFFFFF"/>
                            <w:right w:val="single" w:sz="12" w:space="3" w:color="FFFFFF"/>
                          </w:divBdr>
                          <w:divsChild>
                            <w:div w:id="1703286226">
                              <w:marLeft w:val="0"/>
                              <w:marRight w:val="0"/>
                              <w:marTop w:val="0"/>
                              <w:marBottom w:val="0"/>
                              <w:divBdr>
                                <w:top w:val="none" w:sz="0" w:space="0" w:color="auto"/>
                                <w:left w:val="none" w:sz="0" w:space="0" w:color="auto"/>
                                <w:bottom w:val="none" w:sz="0" w:space="0" w:color="auto"/>
                                <w:right w:val="none" w:sz="0" w:space="0" w:color="auto"/>
                              </w:divBdr>
                            </w:div>
                          </w:divsChild>
                        </w:div>
                        <w:div w:id="31805695">
                          <w:marLeft w:val="0"/>
                          <w:marRight w:val="0"/>
                          <w:marTop w:val="0"/>
                          <w:marBottom w:val="517"/>
                          <w:divBdr>
                            <w:top w:val="single" w:sz="6" w:space="3" w:color="000000"/>
                            <w:left w:val="single" w:sz="12" w:space="3" w:color="FFFFFF"/>
                            <w:bottom w:val="single" w:sz="12" w:space="3" w:color="FFFFFF"/>
                            <w:right w:val="single" w:sz="12" w:space="3" w:color="FFFFFF"/>
                          </w:divBdr>
                          <w:divsChild>
                            <w:div w:id="345717884">
                              <w:marLeft w:val="0"/>
                              <w:marRight w:val="0"/>
                              <w:marTop w:val="0"/>
                              <w:marBottom w:val="0"/>
                              <w:divBdr>
                                <w:top w:val="none" w:sz="0" w:space="0" w:color="auto"/>
                                <w:left w:val="none" w:sz="0" w:space="0" w:color="auto"/>
                                <w:bottom w:val="none" w:sz="0" w:space="0" w:color="auto"/>
                                <w:right w:val="none" w:sz="0" w:space="0" w:color="auto"/>
                              </w:divBdr>
                            </w:div>
                          </w:divsChild>
                        </w:div>
                        <w:div w:id="1740207371">
                          <w:marLeft w:val="0"/>
                          <w:marRight w:val="0"/>
                          <w:marTop w:val="0"/>
                          <w:marBottom w:val="517"/>
                          <w:divBdr>
                            <w:top w:val="single" w:sz="6" w:space="3" w:color="000000"/>
                            <w:left w:val="single" w:sz="12" w:space="3" w:color="FFFFFF"/>
                            <w:bottom w:val="single" w:sz="12" w:space="3" w:color="FFFFFF"/>
                            <w:right w:val="single" w:sz="12" w:space="3" w:color="FFFFFF"/>
                          </w:divBdr>
                          <w:divsChild>
                            <w:div w:id="428476429">
                              <w:marLeft w:val="0"/>
                              <w:marRight w:val="0"/>
                              <w:marTop w:val="0"/>
                              <w:marBottom w:val="0"/>
                              <w:divBdr>
                                <w:top w:val="none" w:sz="0" w:space="0" w:color="auto"/>
                                <w:left w:val="none" w:sz="0" w:space="0" w:color="auto"/>
                                <w:bottom w:val="none" w:sz="0" w:space="0" w:color="auto"/>
                                <w:right w:val="none" w:sz="0" w:space="0" w:color="auto"/>
                              </w:divBdr>
                            </w:div>
                          </w:divsChild>
                        </w:div>
                        <w:div w:id="736826840">
                          <w:marLeft w:val="0"/>
                          <w:marRight w:val="0"/>
                          <w:marTop w:val="0"/>
                          <w:marBottom w:val="517"/>
                          <w:divBdr>
                            <w:top w:val="single" w:sz="6" w:space="3" w:color="000000"/>
                            <w:left w:val="single" w:sz="12" w:space="3" w:color="FFFFFF"/>
                            <w:bottom w:val="single" w:sz="12" w:space="3" w:color="FFFFFF"/>
                            <w:right w:val="single" w:sz="12" w:space="3" w:color="FFFFFF"/>
                          </w:divBdr>
                          <w:divsChild>
                            <w:div w:id="1798797155">
                              <w:marLeft w:val="0"/>
                              <w:marRight w:val="0"/>
                              <w:marTop w:val="0"/>
                              <w:marBottom w:val="0"/>
                              <w:divBdr>
                                <w:top w:val="none" w:sz="0" w:space="0" w:color="auto"/>
                                <w:left w:val="none" w:sz="0" w:space="0" w:color="auto"/>
                                <w:bottom w:val="none" w:sz="0" w:space="0" w:color="auto"/>
                                <w:right w:val="none" w:sz="0" w:space="0" w:color="auto"/>
                              </w:divBdr>
                            </w:div>
                          </w:divsChild>
                        </w:div>
                        <w:div w:id="1517424160">
                          <w:marLeft w:val="0"/>
                          <w:marRight w:val="0"/>
                          <w:marTop w:val="0"/>
                          <w:marBottom w:val="517"/>
                          <w:divBdr>
                            <w:top w:val="single" w:sz="6" w:space="3" w:color="000000"/>
                            <w:left w:val="single" w:sz="12" w:space="3" w:color="FFFFFF"/>
                            <w:bottom w:val="single" w:sz="12" w:space="3" w:color="FFFFFF"/>
                            <w:right w:val="single" w:sz="12" w:space="3" w:color="FFFFFF"/>
                          </w:divBdr>
                          <w:divsChild>
                            <w:div w:id="2097285556">
                              <w:marLeft w:val="0"/>
                              <w:marRight w:val="0"/>
                              <w:marTop w:val="0"/>
                              <w:marBottom w:val="0"/>
                              <w:divBdr>
                                <w:top w:val="none" w:sz="0" w:space="0" w:color="auto"/>
                                <w:left w:val="none" w:sz="0" w:space="0" w:color="auto"/>
                                <w:bottom w:val="none" w:sz="0" w:space="0" w:color="auto"/>
                                <w:right w:val="none" w:sz="0" w:space="0" w:color="auto"/>
                              </w:divBdr>
                            </w:div>
                          </w:divsChild>
                        </w:div>
                        <w:div w:id="274530754">
                          <w:marLeft w:val="0"/>
                          <w:marRight w:val="0"/>
                          <w:marTop w:val="0"/>
                          <w:marBottom w:val="517"/>
                          <w:divBdr>
                            <w:top w:val="single" w:sz="6" w:space="3" w:color="000000"/>
                            <w:left w:val="single" w:sz="12" w:space="3" w:color="FFFFFF"/>
                            <w:bottom w:val="single" w:sz="12" w:space="3" w:color="FFFFFF"/>
                            <w:right w:val="single" w:sz="12" w:space="3" w:color="FFFFFF"/>
                          </w:divBdr>
                          <w:divsChild>
                            <w:div w:id="1668632899">
                              <w:marLeft w:val="0"/>
                              <w:marRight w:val="0"/>
                              <w:marTop w:val="0"/>
                              <w:marBottom w:val="0"/>
                              <w:divBdr>
                                <w:top w:val="none" w:sz="0" w:space="0" w:color="auto"/>
                                <w:left w:val="none" w:sz="0" w:space="0" w:color="auto"/>
                                <w:bottom w:val="none" w:sz="0" w:space="0" w:color="auto"/>
                                <w:right w:val="none" w:sz="0" w:space="0" w:color="auto"/>
                              </w:divBdr>
                            </w:div>
                          </w:divsChild>
                        </w:div>
                        <w:div w:id="1418593887">
                          <w:marLeft w:val="0"/>
                          <w:marRight w:val="0"/>
                          <w:marTop w:val="0"/>
                          <w:marBottom w:val="517"/>
                          <w:divBdr>
                            <w:top w:val="single" w:sz="6" w:space="3" w:color="000000"/>
                            <w:left w:val="single" w:sz="12" w:space="3" w:color="FFFFFF"/>
                            <w:bottom w:val="single" w:sz="12" w:space="3" w:color="FFFFFF"/>
                            <w:right w:val="single" w:sz="12" w:space="3" w:color="FFFFFF"/>
                          </w:divBdr>
                          <w:divsChild>
                            <w:div w:id="211699699">
                              <w:marLeft w:val="0"/>
                              <w:marRight w:val="0"/>
                              <w:marTop w:val="0"/>
                              <w:marBottom w:val="0"/>
                              <w:divBdr>
                                <w:top w:val="none" w:sz="0" w:space="0" w:color="auto"/>
                                <w:left w:val="none" w:sz="0" w:space="0" w:color="auto"/>
                                <w:bottom w:val="none" w:sz="0" w:space="0" w:color="auto"/>
                                <w:right w:val="none" w:sz="0" w:space="0" w:color="auto"/>
                              </w:divBdr>
                            </w:div>
                          </w:divsChild>
                        </w:div>
                        <w:div w:id="2121684512">
                          <w:marLeft w:val="0"/>
                          <w:marRight w:val="0"/>
                          <w:marTop w:val="0"/>
                          <w:marBottom w:val="517"/>
                          <w:divBdr>
                            <w:top w:val="single" w:sz="6" w:space="3" w:color="000000"/>
                            <w:left w:val="single" w:sz="12" w:space="3" w:color="FFFFFF"/>
                            <w:bottom w:val="single" w:sz="12" w:space="3" w:color="FFFFFF"/>
                            <w:right w:val="single" w:sz="12" w:space="3" w:color="FFFFFF"/>
                          </w:divBdr>
                          <w:divsChild>
                            <w:div w:id="501776246">
                              <w:marLeft w:val="0"/>
                              <w:marRight w:val="0"/>
                              <w:marTop w:val="0"/>
                              <w:marBottom w:val="0"/>
                              <w:divBdr>
                                <w:top w:val="none" w:sz="0" w:space="0" w:color="auto"/>
                                <w:left w:val="none" w:sz="0" w:space="0" w:color="auto"/>
                                <w:bottom w:val="none" w:sz="0" w:space="0" w:color="auto"/>
                                <w:right w:val="none" w:sz="0" w:space="0" w:color="auto"/>
                              </w:divBdr>
                            </w:div>
                          </w:divsChild>
                        </w:div>
                        <w:div w:id="1234463517">
                          <w:marLeft w:val="0"/>
                          <w:marRight w:val="0"/>
                          <w:marTop w:val="0"/>
                          <w:marBottom w:val="517"/>
                          <w:divBdr>
                            <w:top w:val="single" w:sz="6" w:space="3" w:color="000000"/>
                            <w:left w:val="single" w:sz="12" w:space="3" w:color="FFFFFF"/>
                            <w:bottom w:val="single" w:sz="12" w:space="3" w:color="FFFFFF"/>
                            <w:right w:val="single" w:sz="12" w:space="3" w:color="FFFFFF"/>
                          </w:divBdr>
                          <w:divsChild>
                            <w:div w:id="1224414888">
                              <w:marLeft w:val="0"/>
                              <w:marRight w:val="0"/>
                              <w:marTop w:val="0"/>
                              <w:marBottom w:val="0"/>
                              <w:divBdr>
                                <w:top w:val="none" w:sz="0" w:space="0" w:color="auto"/>
                                <w:left w:val="none" w:sz="0" w:space="0" w:color="auto"/>
                                <w:bottom w:val="none" w:sz="0" w:space="0" w:color="auto"/>
                                <w:right w:val="none" w:sz="0" w:space="0" w:color="auto"/>
                              </w:divBdr>
                            </w:div>
                          </w:divsChild>
                        </w:div>
                        <w:div w:id="427697018">
                          <w:marLeft w:val="0"/>
                          <w:marRight w:val="0"/>
                          <w:marTop w:val="0"/>
                          <w:marBottom w:val="517"/>
                          <w:divBdr>
                            <w:top w:val="single" w:sz="6" w:space="3" w:color="000000"/>
                            <w:left w:val="single" w:sz="12" w:space="3" w:color="FFFFFF"/>
                            <w:bottom w:val="single" w:sz="12" w:space="3" w:color="FFFFFF"/>
                            <w:right w:val="single" w:sz="12" w:space="3" w:color="FFFFFF"/>
                          </w:divBdr>
                          <w:divsChild>
                            <w:div w:id="2055495871">
                              <w:marLeft w:val="0"/>
                              <w:marRight w:val="0"/>
                              <w:marTop w:val="0"/>
                              <w:marBottom w:val="0"/>
                              <w:divBdr>
                                <w:top w:val="none" w:sz="0" w:space="0" w:color="auto"/>
                                <w:left w:val="none" w:sz="0" w:space="0" w:color="auto"/>
                                <w:bottom w:val="none" w:sz="0" w:space="0" w:color="auto"/>
                                <w:right w:val="none" w:sz="0" w:space="0" w:color="auto"/>
                              </w:divBdr>
                            </w:div>
                          </w:divsChild>
                        </w:div>
                        <w:div w:id="562835321">
                          <w:marLeft w:val="0"/>
                          <w:marRight w:val="0"/>
                          <w:marTop w:val="0"/>
                          <w:marBottom w:val="517"/>
                          <w:divBdr>
                            <w:top w:val="single" w:sz="6" w:space="3" w:color="000000"/>
                            <w:left w:val="single" w:sz="12" w:space="3" w:color="FFFFFF"/>
                            <w:bottom w:val="single" w:sz="12" w:space="3" w:color="FFFFFF"/>
                            <w:right w:val="single" w:sz="12" w:space="3" w:color="FFFFFF"/>
                          </w:divBdr>
                          <w:divsChild>
                            <w:div w:id="533151569">
                              <w:marLeft w:val="0"/>
                              <w:marRight w:val="0"/>
                              <w:marTop w:val="0"/>
                              <w:marBottom w:val="0"/>
                              <w:divBdr>
                                <w:top w:val="none" w:sz="0" w:space="0" w:color="auto"/>
                                <w:left w:val="none" w:sz="0" w:space="0" w:color="auto"/>
                                <w:bottom w:val="none" w:sz="0" w:space="0" w:color="auto"/>
                                <w:right w:val="none" w:sz="0" w:space="0" w:color="auto"/>
                              </w:divBdr>
                            </w:div>
                          </w:divsChild>
                        </w:div>
                        <w:div w:id="1413699392">
                          <w:marLeft w:val="0"/>
                          <w:marRight w:val="0"/>
                          <w:marTop w:val="0"/>
                          <w:marBottom w:val="517"/>
                          <w:divBdr>
                            <w:top w:val="single" w:sz="6" w:space="3" w:color="000000"/>
                            <w:left w:val="single" w:sz="12" w:space="3" w:color="FFFFFF"/>
                            <w:bottom w:val="single" w:sz="12" w:space="3" w:color="FFFFFF"/>
                            <w:right w:val="single" w:sz="12" w:space="3" w:color="FFFFFF"/>
                          </w:divBdr>
                          <w:divsChild>
                            <w:div w:id="449979547">
                              <w:marLeft w:val="0"/>
                              <w:marRight w:val="0"/>
                              <w:marTop w:val="0"/>
                              <w:marBottom w:val="0"/>
                              <w:divBdr>
                                <w:top w:val="none" w:sz="0" w:space="0" w:color="auto"/>
                                <w:left w:val="none" w:sz="0" w:space="0" w:color="auto"/>
                                <w:bottom w:val="none" w:sz="0" w:space="0" w:color="auto"/>
                                <w:right w:val="none" w:sz="0" w:space="0" w:color="auto"/>
                              </w:divBdr>
                            </w:div>
                          </w:divsChild>
                        </w:div>
                        <w:div w:id="2116360377">
                          <w:marLeft w:val="0"/>
                          <w:marRight w:val="0"/>
                          <w:marTop w:val="0"/>
                          <w:marBottom w:val="517"/>
                          <w:divBdr>
                            <w:top w:val="single" w:sz="6" w:space="3" w:color="000000"/>
                            <w:left w:val="single" w:sz="12" w:space="3" w:color="FFFFFF"/>
                            <w:bottom w:val="single" w:sz="12" w:space="3" w:color="FFFFFF"/>
                            <w:right w:val="single" w:sz="12" w:space="3" w:color="FFFFFF"/>
                          </w:divBdr>
                          <w:divsChild>
                            <w:div w:id="1517308773">
                              <w:marLeft w:val="0"/>
                              <w:marRight w:val="0"/>
                              <w:marTop w:val="0"/>
                              <w:marBottom w:val="0"/>
                              <w:divBdr>
                                <w:top w:val="none" w:sz="0" w:space="0" w:color="auto"/>
                                <w:left w:val="none" w:sz="0" w:space="0" w:color="auto"/>
                                <w:bottom w:val="none" w:sz="0" w:space="0" w:color="auto"/>
                                <w:right w:val="none" w:sz="0" w:space="0" w:color="auto"/>
                              </w:divBdr>
                            </w:div>
                          </w:divsChild>
                        </w:div>
                        <w:div w:id="1108935796">
                          <w:marLeft w:val="0"/>
                          <w:marRight w:val="0"/>
                          <w:marTop w:val="0"/>
                          <w:marBottom w:val="517"/>
                          <w:divBdr>
                            <w:top w:val="single" w:sz="6" w:space="3" w:color="000000"/>
                            <w:left w:val="single" w:sz="12" w:space="3" w:color="FFFFFF"/>
                            <w:bottom w:val="single" w:sz="12" w:space="3" w:color="FFFFFF"/>
                            <w:right w:val="single" w:sz="12" w:space="3" w:color="FFFFFF"/>
                          </w:divBdr>
                          <w:divsChild>
                            <w:div w:id="1328441483">
                              <w:marLeft w:val="0"/>
                              <w:marRight w:val="0"/>
                              <w:marTop w:val="0"/>
                              <w:marBottom w:val="0"/>
                              <w:divBdr>
                                <w:top w:val="none" w:sz="0" w:space="0" w:color="auto"/>
                                <w:left w:val="none" w:sz="0" w:space="0" w:color="auto"/>
                                <w:bottom w:val="none" w:sz="0" w:space="0" w:color="auto"/>
                                <w:right w:val="none" w:sz="0" w:space="0" w:color="auto"/>
                              </w:divBdr>
                            </w:div>
                          </w:divsChild>
                        </w:div>
                        <w:div w:id="2013028999">
                          <w:marLeft w:val="0"/>
                          <w:marRight w:val="0"/>
                          <w:marTop w:val="0"/>
                          <w:marBottom w:val="517"/>
                          <w:divBdr>
                            <w:top w:val="single" w:sz="6" w:space="3" w:color="000000"/>
                            <w:left w:val="single" w:sz="12" w:space="3" w:color="FFFFFF"/>
                            <w:bottom w:val="single" w:sz="12" w:space="3" w:color="FFFFFF"/>
                            <w:right w:val="single" w:sz="12" w:space="3" w:color="FFFFFF"/>
                          </w:divBdr>
                          <w:divsChild>
                            <w:div w:id="736787061">
                              <w:marLeft w:val="0"/>
                              <w:marRight w:val="0"/>
                              <w:marTop w:val="0"/>
                              <w:marBottom w:val="0"/>
                              <w:divBdr>
                                <w:top w:val="none" w:sz="0" w:space="0" w:color="auto"/>
                                <w:left w:val="none" w:sz="0" w:space="0" w:color="auto"/>
                                <w:bottom w:val="none" w:sz="0" w:space="0" w:color="auto"/>
                                <w:right w:val="none" w:sz="0" w:space="0" w:color="auto"/>
                              </w:divBdr>
                            </w:div>
                          </w:divsChild>
                        </w:div>
                        <w:div w:id="1910724906">
                          <w:marLeft w:val="0"/>
                          <w:marRight w:val="0"/>
                          <w:marTop w:val="0"/>
                          <w:marBottom w:val="517"/>
                          <w:divBdr>
                            <w:top w:val="single" w:sz="6" w:space="3" w:color="000000"/>
                            <w:left w:val="single" w:sz="12" w:space="3" w:color="FFFFFF"/>
                            <w:bottom w:val="single" w:sz="12" w:space="3" w:color="FFFFFF"/>
                            <w:right w:val="single" w:sz="12" w:space="3" w:color="FFFFFF"/>
                          </w:divBdr>
                          <w:divsChild>
                            <w:div w:id="630019104">
                              <w:marLeft w:val="0"/>
                              <w:marRight w:val="0"/>
                              <w:marTop w:val="0"/>
                              <w:marBottom w:val="0"/>
                              <w:divBdr>
                                <w:top w:val="none" w:sz="0" w:space="0" w:color="auto"/>
                                <w:left w:val="none" w:sz="0" w:space="0" w:color="auto"/>
                                <w:bottom w:val="none" w:sz="0" w:space="0" w:color="auto"/>
                                <w:right w:val="none" w:sz="0" w:space="0" w:color="auto"/>
                              </w:divBdr>
                            </w:div>
                          </w:divsChild>
                        </w:div>
                        <w:div w:id="845246355">
                          <w:marLeft w:val="0"/>
                          <w:marRight w:val="0"/>
                          <w:marTop w:val="0"/>
                          <w:marBottom w:val="517"/>
                          <w:divBdr>
                            <w:top w:val="single" w:sz="6" w:space="3" w:color="000000"/>
                            <w:left w:val="single" w:sz="12" w:space="3" w:color="FFFFFF"/>
                            <w:bottom w:val="single" w:sz="12" w:space="3" w:color="FFFFFF"/>
                            <w:right w:val="single" w:sz="12" w:space="3" w:color="FFFFFF"/>
                          </w:divBdr>
                          <w:divsChild>
                            <w:div w:id="1616674723">
                              <w:marLeft w:val="0"/>
                              <w:marRight w:val="0"/>
                              <w:marTop w:val="0"/>
                              <w:marBottom w:val="0"/>
                              <w:divBdr>
                                <w:top w:val="none" w:sz="0" w:space="0" w:color="auto"/>
                                <w:left w:val="none" w:sz="0" w:space="0" w:color="auto"/>
                                <w:bottom w:val="none" w:sz="0" w:space="0" w:color="auto"/>
                                <w:right w:val="none" w:sz="0" w:space="0" w:color="auto"/>
                              </w:divBdr>
                            </w:div>
                          </w:divsChild>
                        </w:div>
                        <w:div w:id="1545606161">
                          <w:marLeft w:val="0"/>
                          <w:marRight w:val="0"/>
                          <w:marTop w:val="0"/>
                          <w:marBottom w:val="517"/>
                          <w:divBdr>
                            <w:top w:val="single" w:sz="6" w:space="3" w:color="000000"/>
                            <w:left w:val="single" w:sz="12" w:space="3" w:color="FFFFFF"/>
                            <w:bottom w:val="single" w:sz="12" w:space="3" w:color="FFFFFF"/>
                            <w:right w:val="single" w:sz="12" w:space="3" w:color="FFFFFF"/>
                          </w:divBdr>
                          <w:divsChild>
                            <w:div w:id="239294109">
                              <w:marLeft w:val="0"/>
                              <w:marRight w:val="0"/>
                              <w:marTop w:val="0"/>
                              <w:marBottom w:val="0"/>
                              <w:divBdr>
                                <w:top w:val="none" w:sz="0" w:space="0" w:color="auto"/>
                                <w:left w:val="none" w:sz="0" w:space="0" w:color="auto"/>
                                <w:bottom w:val="none" w:sz="0" w:space="0" w:color="auto"/>
                                <w:right w:val="none" w:sz="0" w:space="0" w:color="auto"/>
                              </w:divBdr>
                            </w:div>
                          </w:divsChild>
                        </w:div>
                        <w:div w:id="748161426">
                          <w:marLeft w:val="0"/>
                          <w:marRight w:val="0"/>
                          <w:marTop w:val="0"/>
                          <w:marBottom w:val="517"/>
                          <w:divBdr>
                            <w:top w:val="single" w:sz="6" w:space="3" w:color="000000"/>
                            <w:left w:val="single" w:sz="12" w:space="3" w:color="FFFFFF"/>
                            <w:bottom w:val="single" w:sz="12" w:space="3" w:color="FFFFFF"/>
                            <w:right w:val="single" w:sz="12" w:space="3" w:color="FFFFFF"/>
                          </w:divBdr>
                          <w:divsChild>
                            <w:div w:id="1682470117">
                              <w:marLeft w:val="0"/>
                              <w:marRight w:val="0"/>
                              <w:marTop w:val="0"/>
                              <w:marBottom w:val="0"/>
                              <w:divBdr>
                                <w:top w:val="none" w:sz="0" w:space="0" w:color="auto"/>
                                <w:left w:val="none" w:sz="0" w:space="0" w:color="auto"/>
                                <w:bottom w:val="none" w:sz="0" w:space="0" w:color="auto"/>
                                <w:right w:val="none" w:sz="0" w:space="0" w:color="auto"/>
                              </w:divBdr>
                            </w:div>
                          </w:divsChild>
                        </w:div>
                        <w:div w:id="1908881999">
                          <w:marLeft w:val="0"/>
                          <w:marRight w:val="0"/>
                          <w:marTop w:val="0"/>
                          <w:marBottom w:val="517"/>
                          <w:divBdr>
                            <w:top w:val="single" w:sz="6" w:space="3" w:color="000000"/>
                            <w:left w:val="single" w:sz="12" w:space="3" w:color="FFFFFF"/>
                            <w:bottom w:val="single" w:sz="12" w:space="3" w:color="FFFFFF"/>
                            <w:right w:val="single" w:sz="12" w:space="3" w:color="FFFFFF"/>
                          </w:divBdr>
                          <w:divsChild>
                            <w:div w:id="307058357">
                              <w:marLeft w:val="0"/>
                              <w:marRight w:val="0"/>
                              <w:marTop w:val="0"/>
                              <w:marBottom w:val="0"/>
                              <w:divBdr>
                                <w:top w:val="none" w:sz="0" w:space="0" w:color="auto"/>
                                <w:left w:val="none" w:sz="0" w:space="0" w:color="auto"/>
                                <w:bottom w:val="none" w:sz="0" w:space="0" w:color="auto"/>
                                <w:right w:val="none" w:sz="0" w:space="0" w:color="auto"/>
                              </w:divBdr>
                            </w:div>
                          </w:divsChild>
                        </w:div>
                        <w:div w:id="1437797471">
                          <w:marLeft w:val="0"/>
                          <w:marRight w:val="0"/>
                          <w:marTop w:val="0"/>
                          <w:marBottom w:val="517"/>
                          <w:divBdr>
                            <w:top w:val="single" w:sz="6" w:space="3" w:color="000000"/>
                            <w:left w:val="single" w:sz="12" w:space="3" w:color="FFFFFF"/>
                            <w:bottom w:val="single" w:sz="12" w:space="3" w:color="FFFFFF"/>
                            <w:right w:val="single" w:sz="12" w:space="3" w:color="FFFFFF"/>
                          </w:divBdr>
                          <w:divsChild>
                            <w:div w:id="1953901930">
                              <w:marLeft w:val="0"/>
                              <w:marRight w:val="0"/>
                              <w:marTop w:val="0"/>
                              <w:marBottom w:val="0"/>
                              <w:divBdr>
                                <w:top w:val="none" w:sz="0" w:space="0" w:color="auto"/>
                                <w:left w:val="none" w:sz="0" w:space="0" w:color="auto"/>
                                <w:bottom w:val="none" w:sz="0" w:space="0" w:color="auto"/>
                                <w:right w:val="none" w:sz="0" w:space="0" w:color="auto"/>
                              </w:divBdr>
                            </w:div>
                          </w:divsChild>
                        </w:div>
                        <w:div w:id="1255702118">
                          <w:marLeft w:val="0"/>
                          <w:marRight w:val="0"/>
                          <w:marTop w:val="0"/>
                          <w:marBottom w:val="517"/>
                          <w:divBdr>
                            <w:top w:val="single" w:sz="6" w:space="3" w:color="000000"/>
                            <w:left w:val="single" w:sz="12" w:space="3" w:color="FFFFFF"/>
                            <w:bottom w:val="single" w:sz="12" w:space="3" w:color="FFFFFF"/>
                            <w:right w:val="single" w:sz="12" w:space="3" w:color="FFFFFF"/>
                          </w:divBdr>
                          <w:divsChild>
                            <w:div w:id="982079916">
                              <w:marLeft w:val="0"/>
                              <w:marRight w:val="0"/>
                              <w:marTop w:val="0"/>
                              <w:marBottom w:val="0"/>
                              <w:divBdr>
                                <w:top w:val="none" w:sz="0" w:space="0" w:color="auto"/>
                                <w:left w:val="none" w:sz="0" w:space="0" w:color="auto"/>
                                <w:bottom w:val="none" w:sz="0" w:space="0" w:color="auto"/>
                                <w:right w:val="none" w:sz="0" w:space="0" w:color="auto"/>
                              </w:divBdr>
                            </w:div>
                          </w:divsChild>
                        </w:div>
                        <w:div w:id="69084628">
                          <w:marLeft w:val="0"/>
                          <w:marRight w:val="0"/>
                          <w:marTop w:val="0"/>
                          <w:marBottom w:val="517"/>
                          <w:divBdr>
                            <w:top w:val="single" w:sz="6" w:space="3" w:color="000000"/>
                            <w:left w:val="single" w:sz="12" w:space="3" w:color="FFFFFF"/>
                            <w:bottom w:val="single" w:sz="12" w:space="3" w:color="FFFFFF"/>
                            <w:right w:val="single" w:sz="12" w:space="3" w:color="FFFFFF"/>
                          </w:divBdr>
                          <w:divsChild>
                            <w:div w:id="1076393709">
                              <w:marLeft w:val="0"/>
                              <w:marRight w:val="0"/>
                              <w:marTop w:val="0"/>
                              <w:marBottom w:val="0"/>
                              <w:divBdr>
                                <w:top w:val="none" w:sz="0" w:space="0" w:color="auto"/>
                                <w:left w:val="none" w:sz="0" w:space="0" w:color="auto"/>
                                <w:bottom w:val="none" w:sz="0" w:space="0" w:color="auto"/>
                                <w:right w:val="none" w:sz="0" w:space="0" w:color="auto"/>
                              </w:divBdr>
                            </w:div>
                          </w:divsChild>
                        </w:div>
                        <w:div w:id="846363574">
                          <w:marLeft w:val="0"/>
                          <w:marRight w:val="0"/>
                          <w:marTop w:val="0"/>
                          <w:marBottom w:val="517"/>
                          <w:divBdr>
                            <w:top w:val="single" w:sz="6" w:space="3" w:color="000000"/>
                            <w:left w:val="single" w:sz="12" w:space="3" w:color="FFFFFF"/>
                            <w:bottom w:val="single" w:sz="12" w:space="3" w:color="FFFFFF"/>
                            <w:right w:val="single" w:sz="12" w:space="3" w:color="FFFFFF"/>
                          </w:divBdr>
                          <w:divsChild>
                            <w:div w:id="137222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1394368">
          <w:marLeft w:val="0"/>
          <w:marRight w:val="0"/>
          <w:marTop w:val="0"/>
          <w:marBottom w:val="0"/>
          <w:divBdr>
            <w:top w:val="none" w:sz="0" w:space="0" w:color="auto"/>
            <w:left w:val="none" w:sz="0" w:space="0" w:color="auto"/>
            <w:bottom w:val="none" w:sz="0" w:space="0" w:color="auto"/>
            <w:right w:val="none" w:sz="0" w:space="0" w:color="auto"/>
          </w:divBdr>
        </w:div>
        <w:div w:id="1566141209">
          <w:marLeft w:val="0"/>
          <w:marRight w:val="0"/>
          <w:marTop w:val="240"/>
          <w:marBottom w:val="720"/>
          <w:divBdr>
            <w:top w:val="none" w:sz="0" w:space="0" w:color="auto"/>
            <w:left w:val="none" w:sz="0" w:space="0" w:color="auto"/>
            <w:bottom w:val="none" w:sz="0" w:space="0" w:color="auto"/>
            <w:right w:val="none" w:sz="0" w:space="0" w:color="auto"/>
          </w:divBdr>
          <w:divsChild>
            <w:div w:id="787820058">
              <w:marLeft w:val="384"/>
              <w:marRight w:val="0"/>
              <w:marTop w:val="0"/>
              <w:marBottom w:val="0"/>
              <w:divBdr>
                <w:top w:val="none" w:sz="0" w:space="0" w:color="auto"/>
                <w:left w:val="none" w:sz="0" w:space="0" w:color="auto"/>
                <w:bottom w:val="none" w:sz="0" w:space="0" w:color="auto"/>
                <w:right w:val="none" w:sz="0" w:space="0" w:color="auto"/>
              </w:divBdr>
              <w:divsChild>
                <w:div w:id="938678305">
                  <w:marLeft w:val="0"/>
                  <w:marRight w:val="0"/>
                  <w:marTop w:val="0"/>
                  <w:marBottom w:val="0"/>
                  <w:divBdr>
                    <w:top w:val="none" w:sz="0" w:space="0" w:color="auto"/>
                    <w:left w:val="none" w:sz="0" w:space="0" w:color="auto"/>
                    <w:bottom w:val="none" w:sz="0" w:space="0" w:color="auto"/>
                    <w:right w:val="none" w:sz="0" w:space="0" w:color="auto"/>
                  </w:divBdr>
                </w:div>
              </w:divsChild>
            </w:div>
            <w:div w:id="883758865">
              <w:marLeft w:val="0"/>
              <w:marRight w:val="0"/>
              <w:marTop w:val="0"/>
              <w:marBottom w:val="0"/>
              <w:divBdr>
                <w:top w:val="none" w:sz="0" w:space="0" w:color="auto"/>
                <w:left w:val="none" w:sz="0" w:space="0" w:color="auto"/>
                <w:bottom w:val="none" w:sz="0" w:space="0" w:color="auto"/>
                <w:right w:val="none" w:sz="0" w:space="0" w:color="auto"/>
              </w:divBdr>
            </w:div>
            <w:div w:id="1079252449">
              <w:marLeft w:val="384"/>
              <w:marRight w:val="384"/>
              <w:marTop w:val="240"/>
              <w:marBottom w:val="240"/>
              <w:divBdr>
                <w:top w:val="none" w:sz="0" w:space="0" w:color="auto"/>
                <w:left w:val="none" w:sz="0" w:space="0" w:color="auto"/>
                <w:bottom w:val="none" w:sz="0" w:space="0" w:color="auto"/>
                <w:right w:val="none" w:sz="0" w:space="0" w:color="auto"/>
              </w:divBdr>
              <w:divsChild>
                <w:div w:id="2013948709">
                  <w:marLeft w:val="0"/>
                  <w:marRight w:val="0"/>
                  <w:marTop w:val="0"/>
                  <w:marBottom w:val="0"/>
                  <w:divBdr>
                    <w:top w:val="none" w:sz="0" w:space="0" w:color="auto"/>
                    <w:left w:val="none" w:sz="0" w:space="0" w:color="auto"/>
                    <w:bottom w:val="none" w:sz="0" w:space="0" w:color="auto"/>
                    <w:right w:val="none" w:sz="0" w:space="0" w:color="auto"/>
                  </w:divBdr>
                </w:div>
                <w:div w:id="71852813">
                  <w:marLeft w:val="0"/>
                  <w:marRight w:val="0"/>
                  <w:marTop w:val="0"/>
                  <w:marBottom w:val="0"/>
                  <w:divBdr>
                    <w:top w:val="none" w:sz="0" w:space="0" w:color="auto"/>
                    <w:left w:val="none" w:sz="0" w:space="0" w:color="auto"/>
                    <w:bottom w:val="none" w:sz="0" w:space="0" w:color="auto"/>
                    <w:right w:val="none" w:sz="0" w:space="0" w:color="auto"/>
                  </w:divBdr>
                </w:div>
                <w:div w:id="227376466">
                  <w:marLeft w:val="0"/>
                  <w:marRight w:val="0"/>
                  <w:marTop w:val="0"/>
                  <w:marBottom w:val="0"/>
                  <w:divBdr>
                    <w:top w:val="none" w:sz="0" w:space="0" w:color="auto"/>
                    <w:left w:val="none" w:sz="0" w:space="0" w:color="auto"/>
                    <w:bottom w:val="none" w:sz="0" w:space="0" w:color="auto"/>
                    <w:right w:val="none" w:sz="0" w:space="0" w:color="auto"/>
                  </w:divBdr>
                </w:div>
                <w:div w:id="1347291515">
                  <w:marLeft w:val="0"/>
                  <w:marRight w:val="0"/>
                  <w:marTop w:val="0"/>
                  <w:marBottom w:val="0"/>
                  <w:divBdr>
                    <w:top w:val="none" w:sz="0" w:space="0" w:color="auto"/>
                    <w:left w:val="none" w:sz="0" w:space="0" w:color="auto"/>
                    <w:bottom w:val="none" w:sz="0" w:space="0" w:color="auto"/>
                    <w:right w:val="none" w:sz="0" w:space="0" w:color="auto"/>
                  </w:divBdr>
                </w:div>
                <w:div w:id="87754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mc/articles/PMC4892398/" TargetMode="External"/><Relationship Id="rId299" Type="http://schemas.openxmlformats.org/officeDocument/2006/relationships/hyperlink" Target="https://www.ncbi.nlm.nih.gov/pubmed/25135822" TargetMode="External"/><Relationship Id="rId303" Type="http://schemas.openxmlformats.org/officeDocument/2006/relationships/hyperlink" Target="https://scholar.google.com/scholar_lookup?journal=Br+J+Clin+Pharmacol&amp;title=Vancomycin+dosing+assessment+in+intensive+care+unit+patients+based+on+a+population+pharmacokinetic/+pharmacodynamic+simulation&amp;author=N.+Revilla&amp;author=A.+Mart%C3%ADn-Su%C3%A1rez&amp;author=M.+P%C3%A9rez&amp;author=F.+Gonz%C3%A1lez&amp;author=M.+Fern%C3%A1ndez+de+Gatta+Mdel&amp;volume=70&amp;publication_year=2010&amp;pages=201-212&amp;pmid=20653673&amp;" TargetMode="External"/><Relationship Id="rId21" Type="http://schemas.openxmlformats.org/officeDocument/2006/relationships/hyperlink" Target="https://www.ncbi.nlm.nih.gov/pmc/articles/PMC4892398/" TargetMode="External"/><Relationship Id="rId42" Type="http://schemas.openxmlformats.org/officeDocument/2006/relationships/hyperlink" Target="https://www.ncbi.nlm.nih.gov/pmc/articles/PMC4892398/" TargetMode="External"/><Relationship Id="rId63" Type="http://schemas.openxmlformats.org/officeDocument/2006/relationships/hyperlink" Target="https://www.ncbi.nlm.nih.gov/pmc/articles/PMC4892398/" TargetMode="External"/><Relationship Id="rId84" Type="http://schemas.openxmlformats.org/officeDocument/2006/relationships/hyperlink" Target="https://www.ncbi.nlm.nih.gov/pmc/articles/PMC4892398/" TargetMode="External"/><Relationship Id="rId138" Type="http://schemas.openxmlformats.org/officeDocument/2006/relationships/hyperlink" Target="https://www.ncbi.nlm.nih.gov/pmc/articles/PMC4892398/" TargetMode="External"/><Relationship Id="rId159" Type="http://schemas.openxmlformats.org/officeDocument/2006/relationships/hyperlink" Target="https://www.ncbi.nlm.nih.gov/pmc/articles/PMC4892398/" TargetMode="External"/><Relationship Id="rId324" Type="http://schemas.openxmlformats.org/officeDocument/2006/relationships/hyperlink" Target="https://www.ncbi.nlm.nih.gov/pubmed/26116239" TargetMode="External"/><Relationship Id="rId345" Type="http://schemas.openxmlformats.org/officeDocument/2006/relationships/hyperlink" Target="https://www.ncbi.nlm.nih.gov/pubmed/18067058" TargetMode="External"/><Relationship Id="rId170" Type="http://schemas.openxmlformats.org/officeDocument/2006/relationships/hyperlink" Target="https://www.ncbi.nlm.nih.gov/pmc/articles/PMC4892398/" TargetMode="External"/><Relationship Id="rId191" Type="http://schemas.openxmlformats.org/officeDocument/2006/relationships/hyperlink" Target="https://www.ncbi.nlm.nih.gov/pmc/articles/PMC4187523/" TargetMode="External"/><Relationship Id="rId205" Type="http://schemas.openxmlformats.org/officeDocument/2006/relationships/hyperlink" Target="https://www.ncbi.nlm.nih.gov/pubmed/22382471" TargetMode="External"/><Relationship Id="rId226" Type="http://schemas.openxmlformats.org/officeDocument/2006/relationships/hyperlink" Target="https://scholar.google.com/scholar_lookup?journal=J+Am+Soc+Nephrol&amp;title=Acute+renal+failure+in+patients+with+sepsis+in+a+surgical+ICU:+predictive+factors,+incidence,+comorbidity,+and+outcome&amp;author=E.+Hoste&amp;author=N.+Lameire&amp;author=R.+Vanholder&amp;author=D.+Benoit&amp;author=J.+Decruyenaere&amp;volume=14&amp;publication_year=2003&amp;pages=1022-1030&amp;pmid=12660337&amp;" TargetMode="External"/><Relationship Id="rId247" Type="http://schemas.openxmlformats.org/officeDocument/2006/relationships/hyperlink" Target="https://scholar.google.com/scholar_lookup?journal=Clin+Ther&amp;title=Bayesian+estimation+of+vancomycin+pharmacokinetics+in+obese+children:+matched+case-control+study&amp;author=J.+Le&amp;author=E.+Capparelli&amp;author=U.+Wahid&amp;author=Y.+Wu&amp;author=G.+Romanowski&amp;volume=37&amp;publication_year=2015&amp;pages=1340-1351&amp;pmid=26031618&amp;" TargetMode="External"/><Relationship Id="rId107" Type="http://schemas.openxmlformats.org/officeDocument/2006/relationships/hyperlink" Target="https://www.ncbi.nlm.nih.gov/pmc/articles/PMC4892398/" TargetMode="External"/><Relationship Id="rId268" Type="http://schemas.openxmlformats.org/officeDocument/2006/relationships/hyperlink" Target="https://www.ncbi.nlm.nih.gov/pubmed/24165176" TargetMode="External"/><Relationship Id="rId289" Type="http://schemas.openxmlformats.org/officeDocument/2006/relationships/hyperlink" Target="https://www.ncbi.nlm.nih.gov/pubmed/19223642" TargetMode="External"/><Relationship Id="rId11" Type="http://schemas.openxmlformats.org/officeDocument/2006/relationships/hyperlink" Target="https://www.ncbi.nlm.nih.gov/pmc/articles/PMC4892398/" TargetMode="External"/><Relationship Id="rId32" Type="http://schemas.openxmlformats.org/officeDocument/2006/relationships/hyperlink" Target="https://www.ncbi.nlm.nih.gov/pmc/articles/PMC4892398/" TargetMode="External"/><Relationship Id="rId53" Type="http://schemas.openxmlformats.org/officeDocument/2006/relationships/hyperlink" Target="https://www.ncbi.nlm.nih.gov/pmc/articles/PMC4892398/" TargetMode="External"/><Relationship Id="rId74" Type="http://schemas.openxmlformats.org/officeDocument/2006/relationships/hyperlink" Target="https://www.ncbi.nlm.nih.gov/pmc/articles/PMC4892398/" TargetMode="External"/><Relationship Id="rId128" Type="http://schemas.openxmlformats.org/officeDocument/2006/relationships/hyperlink" Target="https://www.ncbi.nlm.nih.gov/pmc/articles/PMC4892398/" TargetMode="External"/><Relationship Id="rId149" Type="http://schemas.openxmlformats.org/officeDocument/2006/relationships/hyperlink" Target="https://www.ncbi.nlm.nih.gov/pmc/articles/PMC4892398/" TargetMode="External"/><Relationship Id="rId314" Type="http://schemas.openxmlformats.org/officeDocument/2006/relationships/hyperlink" Target="https://scholar.google.com/scholar_lookup?journal=Clin+Pharmacokinet&amp;title=Penetration+of+anti-infective+agents+into+pulmonary+epithelial+lining+fluid:+focus+on+antibacterial+agents&amp;author=K.+Rodvold&amp;author=J.+George&amp;author=L.+Yoo&amp;volume=50&amp;publication_year=2011&amp;pages=637-664&amp;pmid=21895037&amp;" TargetMode="External"/><Relationship Id="rId335" Type="http://schemas.openxmlformats.org/officeDocument/2006/relationships/hyperlink" Target="https://www.ncbi.nlm.nih.gov/pmc/articles/PMC3553731/" TargetMode="External"/><Relationship Id="rId356" Type="http://schemas.openxmlformats.org/officeDocument/2006/relationships/hyperlink" Target="https://scholar.google.com/scholar_lookup?journal=J+Antibiot+(Tokyo)&amp;title=Tackling+vancomycin-resistant+bacteria+with+%E2%80%98lipophilic-vancomycin-carbohydrate+conjugates%E2%80%99&amp;author=V.+Yarlagadda&amp;author=M.+Konai&amp;author=G.+Manjunath&amp;author=C.+Ghosh&amp;author=J.+Haldar&amp;volume=68&amp;publication_year=2015&amp;pages=302-312&amp;pmid=25351946&amp;" TargetMode="External"/><Relationship Id="rId5" Type="http://schemas.openxmlformats.org/officeDocument/2006/relationships/webSettings" Target="webSettings.xml"/><Relationship Id="rId95" Type="http://schemas.openxmlformats.org/officeDocument/2006/relationships/hyperlink" Target="https://www.ncbi.nlm.nih.gov/pmc/articles/PMC4892398/" TargetMode="External"/><Relationship Id="rId160" Type="http://schemas.openxmlformats.org/officeDocument/2006/relationships/hyperlink" Target="https://www.ncbi.nlm.nih.gov/pmc/articles/PMC4892398/" TargetMode="External"/><Relationship Id="rId181" Type="http://schemas.openxmlformats.org/officeDocument/2006/relationships/hyperlink" Target="https://www.ncbi.nlm.nih.gov/pmc/articles/PMC4892398/" TargetMode="External"/><Relationship Id="rId216" Type="http://schemas.openxmlformats.org/officeDocument/2006/relationships/hyperlink" Target="https://www.ncbi.nlm.nih.gov/pubmed/17060545" TargetMode="External"/><Relationship Id="rId237" Type="http://schemas.openxmlformats.org/officeDocument/2006/relationships/hyperlink" Target="https://dx.doi.org/10.1155%2F2015%2F704382" TargetMode="External"/><Relationship Id="rId258" Type="http://schemas.openxmlformats.org/officeDocument/2006/relationships/hyperlink" Target="https://scholar.google.com/scholar_lookup?journal=Crit+Care&amp;title=Acute+Kidney+Injury+Network.+Report+of+an+initiative+to+improve+outcomes+in+acute+kidney+injury&amp;author=R.+Mehta&amp;author=J.+Kellum&amp;author=S.+Shah&amp;author=B.+Molitoris&amp;author=C.+Ronco&amp;volume=11&amp;publication_year=2007&amp;pages=R31&amp;pmid=17331245&amp;" TargetMode="External"/><Relationship Id="rId279" Type="http://schemas.openxmlformats.org/officeDocument/2006/relationships/hyperlink" Target="https://www.ncbi.nlm.nih.gov/pmc/articles/PMC4696586/" TargetMode="External"/><Relationship Id="rId22" Type="http://schemas.openxmlformats.org/officeDocument/2006/relationships/hyperlink" Target="https://www.ncbi.nlm.nih.gov/pmc/articles/PMC4892398/" TargetMode="External"/><Relationship Id="rId43" Type="http://schemas.openxmlformats.org/officeDocument/2006/relationships/hyperlink" Target="https://www.ncbi.nlm.nih.gov/pmc/articles/PMC4892398/" TargetMode="External"/><Relationship Id="rId64" Type="http://schemas.openxmlformats.org/officeDocument/2006/relationships/hyperlink" Target="https://www.ncbi.nlm.nih.gov/pmc/articles/PMC4892398/" TargetMode="External"/><Relationship Id="rId118" Type="http://schemas.openxmlformats.org/officeDocument/2006/relationships/hyperlink" Target="https://www.ncbi.nlm.nih.gov/pmc/articles/PMC4892398/" TargetMode="External"/><Relationship Id="rId139" Type="http://schemas.openxmlformats.org/officeDocument/2006/relationships/hyperlink" Target="https://www.ncbi.nlm.nih.gov/pmc/articles/PMC4892398/" TargetMode="External"/><Relationship Id="rId290" Type="http://schemas.openxmlformats.org/officeDocument/2006/relationships/hyperlink" Target="https://scholar.google.com/scholar_lookup?journal=Antimicrob+Agents+Chemother&amp;title=Prospectively+validated+dosing+nomograms+for+maximizing+the+pharmacodynamics+of+vancomycin+administered+by+continuous+infusion+in+critically+ill+patients&amp;author=F.+Pea&amp;author=M.+Furlanut&amp;author=C.+Negri&amp;author=F.+Pavan&amp;author=M.+Crapis&amp;volume=53&amp;publication_year=2009&amp;pages=1863-1867&amp;pmid=19223642&amp;" TargetMode="External"/><Relationship Id="rId304" Type="http://schemas.openxmlformats.org/officeDocument/2006/relationships/hyperlink" Target="https://www.ncbi.nlm.nih.gov/pmc/articles/PMC4467996/" TargetMode="External"/><Relationship Id="rId325" Type="http://schemas.openxmlformats.org/officeDocument/2006/relationships/hyperlink" Target="https://scholar.google.com/scholar_lookup?journal=BMC+Anesthesiol&amp;title=Evaluation+of+a+protocol+for+vancomycin+administration+in+critically+patients+with+and+without+kidney+dysfunction&amp;author=S.+Spadaro&amp;author=A.+Berselli&amp;author=A.+Fogagnolo&amp;author=M.+Capuzzo&amp;author=R.+Ragazzi&amp;volume=15&amp;publication_year=2015&amp;pages=95&amp;pmid=26116239&amp;" TargetMode="External"/><Relationship Id="rId346" Type="http://schemas.openxmlformats.org/officeDocument/2006/relationships/hyperlink" Target="https://scholar.google.com/scholar_lookup?journal=Ren+Fail&amp;title=Biopsy+proven+acute+tubular+necrosis+associated+with+vancomycin+in+a+child:+case+report+and+literature+review&amp;author=C.+Wu&amp;author=J.+Wang&amp;author=Y.+Chiou&amp;author=C.+Chen&amp;author=Y.+Su&amp;volume=29&amp;publication_year=2007&amp;pages=1059-1061&amp;pmid=18067058&amp;" TargetMode="External"/><Relationship Id="rId85" Type="http://schemas.openxmlformats.org/officeDocument/2006/relationships/hyperlink" Target="https://www.ncbi.nlm.nih.gov/pmc/articles/PMC4892398/" TargetMode="External"/><Relationship Id="rId150" Type="http://schemas.openxmlformats.org/officeDocument/2006/relationships/hyperlink" Target="https://www.ncbi.nlm.nih.gov/pmc/articles/PMC4892398/" TargetMode="External"/><Relationship Id="rId171" Type="http://schemas.openxmlformats.org/officeDocument/2006/relationships/hyperlink" Target="https://www.ncbi.nlm.nih.gov/pmc/articles/PMC4892398/" TargetMode="External"/><Relationship Id="rId192" Type="http://schemas.openxmlformats.org/officeDocument/2006/relationships/hyperlink" Target="https://www.ncbi.nlm.nih.gov/pubmed/25309148" TargetMode="External"/><Relationship Id="rId206" Type="http://schemas.openxmlformats.org/officeDocument/2006/relationships/hyperlink" Target="https://scholar.google.com/scholar_lookup?journal=J+Antimicrob+Chemother&amp;title=Altered+vancomycin+pharmacokinetics+in+obese+and+morbidly+obese+patients:+what+we+have+learned+over+the+past+30+years&amp;author=E.+Grace&amp;volume=67&amp;publication_year=2012&amp;pages=1305-1310&amp;pmid=22382471&amp;" TargetMode="External"/><Relationship Id="rId227" Type="http://schemas.openxmlformats.org/officeDocument/2006/relationships/hyperlink" Target="https://www.ncbi.nlm.nih.gov/pmc/articles/PMC4702231/" TargetMode="External"/><Relationship Id="rId248" Type="http://schemas.openxmlformats.org/officeDocument/2006/relationships/hyperlink" Target="https://www.ncbi.nlm.nih.gov/pmc/articles/PMC2292536/" TargetMode="External"/><Relationship Id="rId269" Type="http://schemas.openxmlformats.org/officeDocument/2006/relationships/hyperlink" Target="https://scholar.google.com/scholar_lookup?journal=Antimicrob+Agents+Chemother&amp;title=Are+vancomycin+trough+concentrations+adequate+for+optimal+dosing?&amp;author=M.+Neely&amp;author=G.+Youn&amp;author=B.+Jones&amp;author=R.+Jelliffe&amp;author=G.+Drusano&amp;volume=58&amp;publication_year=2014&amp;pages=309-316&amp;pmid=24165176&amp;" TargetMode="External"/><Relationship Id="rId12" Type="http://schemas.openxmlformats.org/officeDocument/2006/relationships/hyperlink" Target="https://www.ncbi.nlm.nih.gov/pmc/articles/PMC4892398/" TargetMode="External"/><Relationship Id="rId33" Type="http://schemas.openxmlformats.org/officeDocument/2006/relationships/hyperlink" Target="https://www.ncbi.nlm.nih.gov/pmc/articles/PMC4892398/" TargetMode="External"/><Relationship Id="rId108" Type="http://schemas.openxmlformats.org/officeDocument/2006/relationships/hyperlink" Target="https://www.ncbi.nlm.nih.gov/pmc/articles/PMC4892398/" TargetMode="External"/><Relationship Id="rId129" Type="http://schemas.openxmlformats.org/officeDocument/2006/relationships/hyperlink" Target="https://www.ncbi.nlm.nih.gov/pmc/articles/PMC4892398/" TargetMode="External"/><Relationship Id="rId280" Type="http://schemas.openxmlformats.org/officeDocument/2006/relationships/hyperlink" Target="https://www.ncbi.nlm.nih.gov/pubmed/26519086" TargetMode="External"/><Relationship Id="rId315" Type="http://schemas.openxmlformats.org/officeDocument/2006/relationships/hyperlink" Target="https://www.ncbi.nlm.nih.gov/pubmed/24931573" TargetMode="External"/><Relationship Id="rId336" Type="http://schemas.openxmlformats.org/officeDocument/2006/relationships/hyperlink" Target="https://www.ncbi.nlm.nih.gov/pubmed/23165462" TargetMode="External"/><Relationship Id="rId357" Type="http://schemas.openxmlformats.org/officeDocument/2006/relationships/hyperlink" Target="https://www.ncbi.nlm.nih.gov/pubmed/16114793" TargetMode="External"/><Relationship Id="rId54" Type="http://schemas.openxmlformats.org/officeDocument/2006/relationships/hyperlink" Target="https://www.ncbi.nlm.nih.gov/pmc/articles/PMC4892398/" TargetMode="External"/><Relationship Id="rId75" Type="http://schemas.openxmlformats.org/officeDocument/2006/relationships/hyperlink" Target="https://www.ncbi.nlm.nih.gov/pmc/articles/PMC4892398/" TargetMode="External"/><Relationship Id="rId96" Type="http://schemas.openxmlformats.org/officeDocument/2006/relationships/hyperlink" Target="https://www.ncbi.nlm.nih.gov/pmc/articles/PMC4892398/" TargetMode="External"/><Relationship Id="rId140" Type="http://schemas.openxmlformats.org/officeDocument/2006/relationships/hyperlink" Target="https://www.ncbi.nlm.nih.gov/pmc/articles/PMC4892398/" TargetMode="External"/><Relationship Id="rId161" Type="http://schemas.openxmlformats.org/officeDocument/2006/relationships/hyperlink" Target="https://www.ncbi.nlm.nih.gov/pmc/articles/PMC4892398/" TargetMode="External"/><Relationship Id="rId182" Type="http://schemas.openxmlformats.org/officeDocument/2006/relationships/hyperlink" Target="https://www.ncbi.nlm.nih.gov/pmc/articles/PMC4892398/" TargetMode="External"/><Relationship Id="rId217" Type="http://schemas.openxmlformats.org/officeDocument/2006/relationships/hyperlink" Target="https://scholar.google.com/scholar_lookup?journal=Arch+Intern+Med&amp;title=High-dose+vancomycin+therapy+for+methicillin-resistant+Staphylococcus+aureus+infections:+efficacy+and+toxicity&amp;author=L.+Hidayat&amp;author=D.+Hsu&amp;author=R.+Quist&amp;author=K.+Shriner&amp;author=A.+Wong-Beringer&amp;volume=166&amp;publication_year=2006&amp;pages=2138-2144&amp;pmid=17060545&amp;" TargetMode="External"/><Relationship Id="rId6" Type="http://schemas.openxmlformats.org/officeDocument/2006/relationships/hyperlink" Target="https://www.ncbi.nlm.nih.gov/pmc/articles/PMC4892398/" TargetMode="External"/><Relationship Id="rId238" Type="http://schemas.openxmlformats.org/officeDocument/2006/relationships/hyperlink" Target="https://scholar.google.com/scholar_lookup?journal=Biomed+Res+Int&amp;title=Protective+effects+of+cilastatin+against+vancomycin-induced+nephrotoxicity&amp;author=B.+Humanes&amp;author=J.+Jado&amp;author=S.+Cama%C3%B1o&amp;author=V.+L%C3%B3pez-Parra&amp;author=A.+Torres&amp;publication_year=2015&amp;publication_year=2015&amp;pages=704382&amp;pmid=26504822&amp;doi=10.1155/2015/704382&amp;" TargetMode="External"/><Relationship Id="rId259" Type="http://schemas.openxmlformats.org/officeDocument/2006/relationships/hyperlink" Target="https://www.ncbi.nlm.nih.gov/pubmed/16472993" TargetMode="External"/><Relationship Id="rId23" Type="http://schemas.openxmlformats.org/officeDocument/2006/relationships/hyperlink" Target="https://www.ncbi.nlm.nih.gov/pmc/articles/PMC4892398/" TargetMode="External"/><Relationship Id="rId119" Type="http://schemas.openxmlformats.org/officeDocument/2006/relationships/hyperlink" Target="https://www.ncbi.nlm.nih.gov/pmc/articles/PMC4892398/" TargetMode="External"/><Relationship Id="rId270" Type="http://schemas.openxmlformats.org/officeDocument/2006/relationships/hyperlink" Target="https://www.ncbi.nlm.nih.gov/pmc/articles/PMC172705/" TargetMode="External"/><Relationship Id="rId291" Type="http://schemas.openxmlformats.org/officeDocument/2006/relationships/hyperlink" Target="https://www.ncbi.nlm.nih.gov/pubmed/17896901" TargetMode="External"/><Relationship Id="rId305" Type="http://schemas.openxmlformats.org/officeDocument/2006/relationships/hyperlink" Target="https://www.ncbi.nlm.nih.gov/pubmed/25851852" TargetMode="External"/><Relationship Id="rId326" Type="http://schemas.openxmlformats.org/officeDocument/2006/relationships/hyperlink" Target="https://www.ncbi.nlm.nih.gov/pmc/articles/PMC3350080/" TargetMode="External"/><Relationship Id="rId347" Type="http://schemas.openxmlformats.org/officeDocument/2006/relationships/hyperlink" Target="https://www.ncbi.nlm.nih.gov/pmc/articles/PMC90678/" TargetMode="External"/><Relationship Id="rId44" Type="http://schemas.openxmlformats.org/officeDocument/2006/relationships/hyperlink" Target="https://www.ncbi.nlm.nih.gov/pmc/articles/PMC4892398/" TargetMode="External"/><Relationship Id="rId65" Type="http://schemas.openxmlformats.org/officeDocument/2006/relationships/hyperlink" Target="https://www.ncbi.nlm.nih.gov/pmc/articles/PMC4892398/" TargetMode="External"/><Relationship Id="rId86" Type="http://schemas.openxmlformats.org/officeDocument/2006/relationships/hyperlink" Target="https://www.ncbi.nlm.nih.gov/pmc/articles/PMC4892398/" TargetMode="External"/><Relationship Id="rId130" Type="http://schemas.openxmlformats.org/officeDocument/2006/relationships/hyperlink" Target="https://www.ncbi.nlm.nih.gov/pmc/articles/PMC4892398/" TargetMode="External"/><Relationship Id="rId151" Type="http://schemas.openxmlformats.org/officeDocument/2006/relationships/hyperlink" Target="https://www.ncbi.nlm.nih.gov/pmc/articles/PMC4892398/" TargetMode="External"/><Relationship Id="rId172" Type="http://schemas.openxmlformats.org/officeDocument/2006/relationships/hyperlink" Target="https://www.ncbi.nlm.nih.gov/pmc/articles/PMC4892398/" TargetMode="External"/><Relationship Id="rId193" Type="http://schemas.openxmlformats.org/officeDocument/2006/relationships/hyperlink" Target="https://scholar.google.com/scholar_lookup?journal=J+Pediatr+Pharmacol+Ther&amp;title=Vancomycin+dosing+in+healthy-weight,+overweight,+and+obese+pediatric+patients&amp;author=L.+Eiland&amp;author=K.+Sonawane&amp;volume=19&amp;publication_year=2014&amp;pages=182-188&amp;pmid=25309148&amp;" TargetMode="External"/><Relationship Id="rId207" Type="http://schemas.openxmlformats.org/officeDocument/2006/relationships/hyperlink" Target="https://www.ncbi.nlm.nih.gov/pubmed/26418699" TargetMode="External"/><Relationship Id="rId228" Type="http://schemas.openxmlformats.org/officeDocument/2006/relationships/hyperlink" Target="https://www.ncbi.nlm.nih.gov/pubmed/26683890" TargetMode="External"/><Relationship Id="rId249" Type="http://schemas.openxmlformats.org/officeDocument/2006/relationships/hyperlink" Target="https://www.ncbi.nlm.nih.gov/pubmed/18227177" TargetMode="External"/><Relationship Id="rId13" Type="http://schemas.openxmlformats.org/officeDocument/2006/relationships/hyperlink" Target="https://www.ncbi.nlm.nih.gov/pmc/articles/PMC4892398/" TargetMode="External"/><Relationship Id="rId109" Type="http://schemas.openxmlformats.org/officeDocument/2006/relationships/hyperlink" Target="https://www.ncbi.nlm.nih.gov/pmc/articles/PMC4892398/" TargetMode="External"/><Relationship Id="rId260" Type="http://schemas.openxmlformats.org/officeDocument/2006/relationships/hyperlink" Target="https://scholar.google.com/scholar_lookup?journal=Int+J+Antimicrob+Agents&amp;title=Loading+dose+of+vancomycin+in+critically+ill+patients:+15+mg/kg+is+a+better+choice+than+500+mg&amp;author=I.+Mohammedi&amp;author=E.+Descloux&amp;author=L.+Argaud&amp;author=J.+Le+Scanff&amp;author=D.+Robert&amp;volume=27&amp;publication_year=2006&amp;pages=259-262&amp;pmid=16472993&amp;" TargetMode="External"/><Relationship Id="rId281" Type="http://schemas.openxmlformats.org/officeDocument/2006/relationships/hyperlink" Target="https://scholar.google.com/scholar_lookup?journal=J+Am+Soc+Nephrol&amp;title=Acute+Dialysis+Quality+Initiative+XIII+Workgroup.+Therapeutic+targets+of+human+AKI:+harmonizing+human+and+animal+AKI&amp;author=M.+Okusa&amp;author=M.+Rosner&amp;author=J.+Kellum&amp;author=C.+Ronco&amp;volume=27&amp;publication_year=2016&amp;pages=44-48&amp;pmid=26519086&amp;" TargetMode="External"/><Relationship Id="rId316" Type="http://schemas.openxmlformats.org/officeDocument/2006/relationships/hyperlink" Target="https://scholar.google.com/scholar_lookup?journal=Clin+Ther&amp;title=High-dose+intravenous+vancomycin+therapy+and+the+risk+of+nephrotoxicity&amp;author=S.+Rostas&amp;author=D.+Kubiak&amp;author=M.+Calderwood&amp;volume=36&amp;publication_year=2014&amp;pages=1098-1101&amp;pmid=24931573&amp;" TargetMode="External"/><Relationship Id="rId337" Type="http://schemas.openxmlformats.org/officeDocument/2006/relationships/hyperlink" Target="https://scholar.google.com/scholar_lookup?journal=Antimicrob+Agents+Chemother&amp;title=Systematic+review+and+meta-analysis+of+vancomycin-induced+nephrotoxicity+associated+with+dosing+schedules+that+maintain+troughs+between+15+and+20+milligrams+per+liter&amp;author=S.+Van+Hal&amp;author=D.+Paterson&amp;author=T.+Lodise&amp;volume=57&amp;publication_year=2013&amp;pages=734-744&amp;pmid=23165462&amp;" TargetMode="External"/><Relationship Id="rId34" Type="http://schemas.openxmlformats.org/officeDocument/2006/relationships/hyperlink" Target="https://www.ncbi.nlm.nih.gov/pmc/articles/PMC4892398/" TargetMode="External"/><Relationship Id="rId55" Type="http://schemas.openxmlformats.org/officeDocument/2006/relationships/hyperlink" Target="https://www.ncbi.nlm.nih.gov/pmc/articles/PMC4892398/" TargetMode="External"/><Relationship Id="rId76" Type="http://schemas.openxmlformats.org/officeDocument/2006/relationships/hyperlink" Target="https://www.ncbi.nlm.nih.gov/pmc/articles/PMC4892398/" TargetMode="External"/><Relationship Id="rId97" Type="http://schemas.openxmlformats.org/officeDocument/2006/relationships/hyperlink" Target="https://www.ncbi.nlm.nih.gov/pmc/articles/PMC4892398/" TargetMode="External"/><Relationship Id="rId120" Type="http://schemas.openxmlformats.org/officeDocument/2006/relationships/hyperlink" Target="https://www.ncbi.nlm.nih.gov/pmc/articles/PMC4892398/" TargetMode="External"/><Relationship Id="rId141" Type="http://schemas.openxmlformats.org/officeDocument/2006/relationships/hyperlink" Target="https://www.ncbi.nlm.nih.gov/pmc/articles/PMC4892398/" TargetMode="External"/><Relationship Id="rId358" Type="http://schemas.openxmlformats.org/officeDocument/2006/relationships/hyperlink" Target="https://scholar.google.com/scholar_lookup?journal=Clin+Nephrol&amp;title=Vancomycin-induced+hypersensitivity+reaction+with+acute+renal+failure:+resolution+following+cyclosporine+treatment&amp;author=E.+Zuliani&amp;author=H.+Zwahlen&amp;author=F.+Gilliet&amp;author=C.+Marone&amp;volume=64&amp;publication_year=2005&amp;pages=155-158&amp;pmid=16114793&amp;" TargetMode="External"/><Relationship Id="rId7" Type="http://schemas.openxmlformats.org/officeDocument/2006/relationships/hyperlink" Target="https://www.ncbi.nlm.nih.gov/pmc/articles/PMC4892398/" TargetMode="External"/><Relationship Id="rId162" Type="http://schemas.openxmlformats.org/officeDocument/2006/relationships/hyperlink" Target="https://www.ncbi.nlm.nih.gov/pmc/articles/PMC4892398/" TargetMode="External"/><Relationship Id="rId183" Type="http://schemas.openxmlformats.org/officeDocument/2006/relationships/hyperlink" Target="https://www.ncbi.nlm.nih.gov/pmc/articles/PMC4892398/" TargetMode="External"/><Relationship Id="rId218" Type="http://schemas.openxmlformats.org/officeDocument/2006/relationships/hyperlink" Target="https://www.ncbi.nlm.nih.gov/pubmed/26239323" TargetMode="External"/><Relationship Id="rId239" Type="http://schemas.openxmlformats.org/officeDocument/2006/relationships/hyperlink" Target="https://www.ncbi.nlm.nih.gov/pubmed/18251954" TargetMode="External"/><Relationship Id="rId250" Type="http://schemas.openxmlformats.org/officeDocument/2006/relationships/hyperlink" Target="https://scholar.google.com/scholar_lookup?journal=Antimicrob+Agents+Chemother&amp;title=Larger+vancomycin+doses+(at+least+four+grams+per+day)+are+associated+with+an+increased+incidence+of+nephrotoxicity&amp;author=T.+Lodise&amp;author=B.+Lomaestro&amp;author=J.+Graves&amp;author=G.+Drusano&amp;volume=52&amp;publication_year=2008&amp;pages=1330-1336&amp;pmid=18227177&amp;" TargetMode="External"/><Relationship Id="rId271" Type="http://schemas.openxmlformats.org/officeDocument/2006/relationships/hyperlink" Target="https://www.ncbi.nlm.nih.gov/pubmed/2817853" TargetMode="External"/><Relationship Id="rId292" Type="http://schemas.openxmlformats.org/officeDocument/2006/relationships/hyperlink" Target="https://scholar.google.com/scholar_lookup?journal=Pharmacotherapy&amp;title=Acute+interstitial+nephritis+associated+with+coadministration+of+vancomycin+and+ceftriaxone:+case+series+and+review+of+the+literature&amp;author=R.+Plakogiannis&amp;author=A.+Nogid&amp;volume=27&amp;publication_year=2007&amp;pages=1456-1461&amp;pmid=17896901&amp;" TargetMode="External"/><Relationship Id="rId306" Type="http://schemas.openxmlformats.org/officeDocument/2006/relationships/hyperlink" Target="https://scholar.google.com/scholar_lookup?journal=J+Infect+Chemother&amp;title=The+association+of+elevated+trough+serum+vancomycin+concentrations+with+obesity&amp;author=J.+Richardson&amp;author=M.+Scheetz&amp;author=E.+O%E2%80%99Donnell&amp;volume=21&amp;publication_year=2015&amp;pages=507-511&amp;pmid=25851852&amp;" TargetMode="External"/><Relationship Id="rId24" Type="http://schemas.openxmlformats.org/officeDocument/2006/relationships/hyperlink" Target="https://www.ncbi.nlm.nih.gov/pmc/articles/PMC4892398/" TargetMode="External"/><Relationship Id="rId45" Type="http://schemas.openxmlformats.org/officeDocument/2006/relationships/hyperlink" Target="https://www.ncbi.nlm.nih.gov/pmc/articles/PMC4892398/" TargetMode="External"/><Relationship Id="rId66" Type="http://schemas.openxmlformats.org/officeDocument/2006/relationships/hyperlink" Target="https://www.ncbi.nlm.nih.gov/pmc/articles/PMC4892398/" TargetMode="External"/><Relationship Id="rId87" Type="http://schemas.openxmlformats.org/officeDocument/2006/relationships/hyperlink" Target="https://www.ncbi.nlm.nih.gov/pmc/articles/PMC4892398/" TargetMode="External"/><Relationship Id="rId110" Type="http://schemas.openxmlformats.org/officeDocument/2006/relationships/hyperlink" Target="https://www.ncbi.nlm.nih.gov/pmc/articles/PMC4892398/" TargetMode="External"/><Relationship Id="rId131" Type="http://schemas.openxmlformats.org/officeDocument/2006/relationships/hyperlink" Target="https://www.ncbi.nlm.nih.gov/pmc/articles/PMC4892398/" TargetMode="External"/><Relationship Id="rId327" Type="http://schemas.openxmlformats.org/officeDocument/2006/relationships/hyperlink" Target="https://www.ncbi.nlm.nih.gov/pubmed/22606521" TargetMode="External"/><Relationship Id="rId348" Type="http://schemas.openxmlformats.org/officeDocument/2006/relationships/hyperlink" Target="https://www.ncbi.nlm.nih.gov/pubmed/11502515" TargetMode="External"/><Relationship Id="rId152" Type="http://schemas.openxmlformats.org/officeDocument/2006/relationships/hyperlink" Target="https://www.ncbi.nlm.nih.gov/pmc/articles/PMC4892398/" TargetMode="External"/><Relationship Id="rId173" Type="http://schemas.openxmlformats.org/officeDocument/2006/relationships/hyperlink" Target="https://www.ncbi.nlm.nih.gov/pmc/articles/PMC4892398/" TargetMode="External"/><Relationship Id="rId194" Type="http://schemas.openxmlformats.org/officeDocument/2006/relationships/hyperlink" Target="https://www.ncbi.nlm.nih.gov/pubmed/22411630" TargetMode="External"/><Relationship Id="rId208" Type="http://schemas.openxmlformats.org/officeDocument/2006/relationships/hyperlink" Target="https://scholar.google.com/scholar_lookup?journal=Ther+Drug+Monit&amp;title=Evaluation+of+vancomycin+prediction+methods+based+on+estimated+creatinine+clearance+or+trough+levels&amp;author=M.+Haeseker&amp;author=S.+Croes&amp;author=C.+Neef&amp;author=C.+Bruggeman&amp;author=L.+Stolk&amp;volume=38&amp;publication_year=2016&amp;pages=120-126&amp;pmid=26418699&amp;" TargetMode="External"/><Relationship Id="rId229" Type="http://schemas.openxmlformats.org/officeDocument/2006/relationships/hyperlink" Target="https://scholar.google.com/scholar_lookup?journal=Clin+J+Am+Soc+Nephrol&amp;title=Centers+for+Disease+Control+and+Prevention+Chronic+Kidney+Disease+Surveillance+Team.+Exploring+potential+reasons+for+the+temporal+trend+in+dialysis-requiring+AKI+in+the+United+States&amp;author=R.+Hsu&amp;author=C.+McCulloch&amp;author=M.+Heung&amp;author=R.+Saran&amp;author=V.+Shahinian&amp;volume=11&amp;publication_year=2016&amp;pages=14-20&amp;pmid=26683890&amp;" TargetMode="External"/><Relationship Id="rId240" Type="http://schemas.openxmlformats.org/officeDocument/2006/relationships/hyperlink" Target="https://scholar.google.com/scholar_lookup?journal=Semin+Dial&amp;title=Dialysis+surveillance+report:+National+Healthcare+Safety+Network+(NHSN)%E2%80%94data+summary+for+2006&amp;author=R.+Klevens&amp;author=J.+Edwards&amp;author=M.+Andrus&amp;author=K.+Peterson&amp;author=M.+Dudeck&amp;volume=21&amp;publication_year=2008&amp;pages=24-28&amp;pmid=18251954&amp;" TargetMode="External"/><Relationship Id="rId261" Type="http://schemas.openxmlformats.org/officeDocument/2006/relationships/hyperlink" Target="https://www.ncbi.nlm.nih.gov/pubmed/11057360" TargetMode="External"/><Relationship Id="rId14" Type="http://schemas.openxmlformats.org/officeDocument/2006/relationships/hyperlink" Target="https://www.ncbi.nlm.nih.gov/pmc/articles/PMC4892398/" TargetMode="External"/><Relationship Id="rId35" Type="http://schemas.openxmlformats.org/officeDocument/2006/relationships/hyperlink" Target="https://www.ncbi.nlm.nih.gov/pmc/articles/PMC4892398/" TargetMode="External"/><Relationship Id="rId56" Type="http://schemas.openxmlformats.org/officeDocument/2006/relationships/hyperlink" Target="https://www.ncbi.nlm.nih.gov/pmc/articles/PMC4892398/" TargetMode="External"/><Relationship Id="rId77" Type="http://schemas.openxmlformats.org/officeDocument/2006/relationships/hyperlink" Target="https://www.ncbi.nlm.nih.gov/pmc/articles/PMC4892398/" TargetMode="External"/><Relationship Id="rId100" Type="http://schemas.openxmlformats.org/officeDocument/2006/relationships/hyperlink" Target="https://www.ncbi.nlm.nih.gov/pmc/articles/PMC4892398/" TargetMode="External"/><Relationship Id="rId282" Type="http://schemas.openxmlformats.org/officeDocument/2006/relationships/hyperlink" Target="https://www.ncbi.nlm.nih.gov/pubmed/16815231" TargetMode="External"/><Relationship Id="rId317" Type="http://schemas.openxmlformats.org/officeDocument/2006/relationships/hyperlink" Target="https://www.ncbi.nlm.nih.gov/pubmed/2351627" TargetMode="External"/><Relationship Id="rId338" Type="http://schemas.openxmlformats.org/officeDocument/2006/relationships/hyperlink" Target="https://www.ncbi.nlm.nih.gov/pubmed/16721580" TargetMode="External"/><Relationship Id="rId359" Type="http://schemas.openxmlformats.org/officeDocument/2006/relationships/fontTable" Target="fontTable.xml"/><Relationship Id="rId8" Type="http://schemas.openxmlformats.org/officeDocument/2006/relationships/hyperlink" Target="https://www.ncbi.nlm.nih.gov/pmc/articles/PMC4892398/" TargetMode="External"/><Relationship Id="rId98" Type="http://schemas.openxmlformats.org/officeDocument/2006/relationships/hyperlink" Target="https://www.ncbi.nlm.nih.gov/pmc/articles/PMC4892398/" TargetMode="External"/><Relationship Id="rId121" Type="http://schemas.openxmlformats.org/officeDocument/2006/relationships/hyperlink" Target="https://www.ncbi.nlm.nih.gov/pmc/articles/PMC4892398/" TargetMode="External"/><Relationship Id="rId142" Type="http://schemas.openxmlformats.org/officeDocument/2006/relationships/hyperlink" Target="https://www.ncbi.nlm.nih.gov/pmc/articles/PMC4892398/" TargetMode="External"/><Relationship Id="rId163" Type="http://schemas.openxmlformats.org/officeDocument/2006/relationships/hyperlink" Target="https://www.ncbi.nlm.nih.gov/pmc/articles/PMC4892398/" TargetMode="External"/><Relationship Id="rId184" Type="http://schemas.openxmlformats.org/officeDocument/2006/relationships/hyperlink" Target="https://www.ncbi.nlm.nih.gov/pmc/articles/PMC3001762/" TargetMode="External"/><Relationship Id="rId219" Type="http://schemas.openxmlformats.org/officeDocument/2006/relationships/hyperlink" Target="https://dx.doi.org/10.1016%2Fj.jcrc.2015.06.012" TargetMode="External"/><Relationship Id="rId230" Type="http://schemas.openxmlformats.org/officeDocument/2006/relationships/hyperlink" Target="https://www.ncbi.nlm.nih.gov/pubmed/11601669" TargetMode="External"/><Relationship Id="rId251" Type="http://schemas.openxmlformats.org/officeDocument/2006/relationships/hyperlink" Target="https://www.ncbi.nlm.nih.gov/pmc/articles/PMC5094385/" TargetMode="External"/><Relationship Id="rId25" Type="http://schemas.openxmlformats.org/officeDocument/2006/relationships/hyperlink" Target="https://www.ncbi.nlm.nih.gov/pmc/articles/PMC4892398/" TargetMode="External"/><Relationship Id="rId46" Type="http://schemas.openxmlformats.org/officeDocument/2006/relationships/hyperlink" Target="https://www.ncbi.nlm.nih.gov/pmc/articles/PMC4892398/" TargetMode="External"/><Relationship Id="rId67" Type="http://schemas.openxmlformats.org/officeDocument/2006/relationships/hyperlink" Target="https://www.ncbi.nlm.nih.gov/pmc/articles/PMC4892398/" TargetMode="External"/><Relationship Id="rId272" Type="http://schemas.openxmlformats.org/officeDocument/2006/relationships/hyperlink" Target="https://scholar.google.com/scholar_lookup?journal=Antimicrob+Agents+Chemother&amp;title=Intrarenal+distribution+of+vancomycin+in+endotoxemic+rats&amp;author=M.+Ngeleka&amp;author=P.+Auclair&amp;author=D.+Tardif&amp;author=D.+Beauchamp&amp;author=M.+Bergeron&amp;volume=33&amp;publication_year=1989&amp;pages=1575-1579&amp;pmid=2817853&amp;" TargetMode="External"/><Relationship Id="rId293" Type="http://schemas.openxmlformats.org/officeDocument/2006/relationships/hyperlink" Target="https://www.ncbi.nlm.nih.gov/pmc/articles/PMC4717457/" TargetMode="External"/><Relationship Id="rId307" Type="http://schemas.openxmlformats.org/officeDocument/2006/relationships/hyperlink" Target="https://www.ncbi.nlm.nih.gov/pmc/articles/PMC4181663/" TargetMode="External"/><Relationship Id="rId328" Type="http://schemas.openxmlformats.org/officeDocument/2006/relationships/hyperlink" Target="https://scholar.google.com/scholar_lookup?journal=Case+Rep+Pediatr&amp;title=Successful+utilization+of+high-flux+hemodialysis+for+treatment+of+vancomycin+toxicity+in+a+child&amp;author=T.+Stidham&amp;author=P.+Reiter&amp;author=D.+Ford&amp;author=G.+Lum&amp;author=J.+Albietz&amp;volume=2011&amp;publication_year=2011&amp;pages=678-724&amp;" TargetMode="External"/><Relationship Id="rId349" Type="http://schemas.openxmlformats.org/officeDocument/2006/relationships/hyperlink" Target="https://scholar.google.com/scholar_lookup?journal=Antimicrob+Agents+Chemother&amp;title=Continuous+versus+intermittent+infusion+of+vancomycin+in+severe+staphylococcal+infections:+prospective+multicenter+randomized+study&amp;author=M.+Wysocki&amp;author=F.+Delatour&amp;author=F.+Faurisson&amp;author=A.+Rauss&amp;author=Y.+Pean&amp;volume=45&amp;publication_year=2001&amp;pages=2460-2467&amp;pmid=11502515&amp;" TargetMode="External"/><Relationship Id="rId88" Type="http://schemas.openxmlformats.org/officeDocument/2006/relationships/hyperlink" Target="https://www.ncbi.nlm.nih.gov/pmc/articles/PMC4892398/" TargetMode="External"/><Relationship Id="rId111" Type="http://schemas.openxmlformats.org/officeDocument/2006/relationships/hyperlink" Target="https://www.ncbi.nlm.nih.gov/pmc/articles/PMC4892398/" TargetMode="External"/><Relationship Id="rId132" Type="http://schemas.openxmlformats.org/officeDocument/2006/relationships/hyperlink" Target="https://www.ncbi.nlm.nih.gov/pmc/articles/PMC4892398/" TargetMode="External"/><Relationship Id="rId153" Type="http://schemas.openxmlformats.org/officeDocument/2006/relationships/hyperlink" Target="https://www.ncbi.nlm.nih.gov/pmc/articles/PMC4892398/" TargetMode="External"/><Relationship Id="rId174" Type="http://schemas.openxmlformats.org/officeDocument/2006/relationships/hyperlink" Target="https://www.ncbi.nlm.nih.gov/pmc/articles/PMC4892398/" TargetMode="External"/><Relationship Id="rId195" Type="http://schemas.openxmlformats.org/officeDocument/2006/relationships/hyperlink" Target="https://scholar.google.com/scholar_lookup?journal=Eur+J+Clin+Pharmacol&amp;title=Vancomycin-induced+nephrotoxicity:+mechanism,+incidence,+risk+factors+and+special+populations.+A+literature+review&amp;author=S.+Elyasi&amp;author=H.+Khalili&amp;author=S.+Dashti-Khavidaki&amp;author=A.+Mohammadpour&amp;volume=68&amp;publication_year=2012&amp;pages=1243-1255&amp;pmid=22411630&amp;" TargetMode="External"/><Relationship Id="rId209" Type="http://schemas.openxmlformats.org/officeDocument/2006/relationships/hyperlink" Target="https://www.ncbi.nlm.nih.gov/pubmed/26310409" TargetMode="External"/><Relationship Id="rId360" Type="http://schemas.openxmlformats.org/officeDocument/2006/relationships/theme" Target="theme/theme1.xml"/><Relationship Id="rId190" Type="http://schemas.openxmlformats.org/officeDocument/2006/relationships/hyperlink" Target="https://scholar.google.com/scholar_lookup?journal=Ann+Pharmacother&amp;title=Review+of+continuous-infusion+vancomycin&amp;author=V.+DiMondi&amp;author=K.+Rafferty&amp;volume=47&amp;publication_year=2013&amp;pages=219-227&amp;pmid=23386074&amp;" TargetMode="External"/><Relationship Id="rId204" Type="http://schemas.openxmlformats.org/officeDocument/2006/relationships/hyperlink" Target="https://scholar.google.com/scholar_lookup?journal=Pediatr+Infect+Dis+J&amp;title=Vancomycin+does+not+enhance+amikacin-induced+tubular+nephrotoxicity+in+children&amp;author=M.+Goren&amp;author=D.+Baker&amp;author=J.+Shenep&amp;volume=8&amp;publication_year=1989&amp;pages=278-282&amp;pmid=2657616&amp;" TargetMode="External"/><Relationship Id="rId220" Type="http://schemas.openxmlformats.org/officeDocument/2006/relationships/hyperlink" Target="https://scholar.google.com/scholar_lookup?journal=J+Crit+Care&amp;title=Continuous+infusion+vs+intermittent+vancomycin+in+neurosurgical+intensive+care+unit+patients&amp;author=L.+Hong&amp;author=T.+Goolsby&amp;author=D.+Sherman&amp;author=S.+Mueller&amp;author=P.+Reynolds&amp;volume=pii&amp;publication_year=2015&amp;pages=S0883-9441&amp;pmid=26239323&amp;doi=10.1016/j.jcrc.2015.06.012&amp;" TargetMode="External"/><Relationship Id="rId225" Type="http://schemas.openxmlformats.org/officeDocument/2006/relationships/hyperlink" Target="https://www.ncbi.nlm.nih.gov/pubmed/12660337" TargetMode="External"/><Relationship Id="rId241" Type="http://schemas.openxmlformats.org/officeDocument/2006/relationships/hyperlink" Target="https://www.ncbi.nlm.nih.gov/pubmed/26160972" TargetMode="External"/><Relationship Id="rId246" Type="http://schemas.openxmlformats.org/officeDocument/2006/relationships/hyperlink" Target="https://www.ncbi.nlm.nih.gov/pubmed/26031618" TargetMode="External"/><Relationship Id="rId267" Type="http://schemas.openxmlformats.org/officeDocument/2006/relationships/hyperlink" Target="https://www.ncbi.nlm.nih.gov/pmc/articles/PMC3910745/" TargetMode="External"/><Relationship Id="rId288" Type="http://schemas.openxmlformats.org/officeDocument/2006/relationships/hyperlink" Target="https://www.ncbi.nlm.nih.gov/pmc/articles/PMC2681515/" TargetMode="External"/><Relationship Id="rId15" Type="http://schemas.openxmlformats.org/officeDocument/2006/relationships/hyperlink" Target="https://www.ncbi.nlm.nih.gov/pmc/articles/PMC4892398/" TargetMode="External"/><Relationship Id="rId36" Type="http://schemas.openxmlformats.org/officeDocument/2006/relationships/hyperlink" Target="https://www.ncbi.nlm.nih.gov/pmc/articles/PMC4892398/" TargetMode="External"/><Relationship Id="rId57" Type="http://schemas.openxmlformats.org/officeDocument/2006/relationships/hyperlink" Target="https://www.ncbi.nlm.nih.gov/pmc/articles/PMC4892398/" TargetMode="External"/><Relationship Id="rId106" Type="http://schemas.openxmlformats.org/officeDocument/2006/relationships/hyperlink" Target="https://www.ncbi.nlm.nih.gov/pmc/articles/PMC4892398/" TargetMode="External"/><Relationship Id="rId127" Type="http://schemas.openxmlformats.org/officeDocument/2006/relationships/hyperlink" Target="https://www.ncbi.nlm.nih.gov/pmc/articles/PMC4892398/" TargetMode="External"/><Relationship Id="rId262" Type="http://schemas.openxmlformats.org/officeDocument/2006/relationships/hyperlink" Target="https://scholar.google.com/scholar_lookup?journal=Am+J+Health+Syst+Pharm&amp;title=Area+under+the+inhibitory+curve+and+a+pneumonia+scoring+system+for+predicting+outcomes+of+vancomycin+therapy+for+respiratory+infections+by+Staphylococcus+aureus&amp;author=P.+Moise&amp;author=A.+Forrest&amp;author=S.+Bhavnani&amp;author=M.+Birmingham&amp;author=J.+Schentag&amp;volume=57&amp;issue=Suppl.+2&amp;publication_year=2000&amp;pages=4-9&amp;" TargetMode="External"/><Relationship Id="rId283" Type="http://schemas.openxmlformats.org/officeDocument/2006/relationships/hyperlink" Target="https://scholar.google.com/scholar_lookup?journal=Adv+Chronic+Kidney+Dis&amp;title=Optimizing+antimicrobial+therapy+for+gram-positive+bloodstream+infections+in+patients+on+hemodialysis&amp;author=A.+Pai&amp;author=M.+Pai&amp;volume=13&amp;publication_year=2006&amp;pages=259-270&amp;pmid=16815231&amp;" TargetMode="External"/><Relationship Id="rId313" Type="http://schemas.openxmlformats.org/officeDocument/2006/relationships/hyperlink" Target="https://www.ncbi.nlm.nih.gov/pubmed/21895037" TargetMode="External"/><Relationship Id="rId318" Type="http://schemas.openxmlformats.org/officeDocument/2006/relationships/hyperlink" Target="https://scholar.google.com/scholar_lookup?journal=J+Antimicrob+Chemother&amp;title=Nephrotoxicity+of+vancomycin,+alone+and+with+an+aminoglycoside&amp;author=M.+Rybak&amp;author=L.+Albrecht&amp;author=S.+Boike&amp;author=P.+Chandrasekar&amp;volume=25&amp;publication_year=1990&amp;pages=679-687&amp;pmid=2351627&amp;" TargetMode="External"/><Relationship Id="rId339" Type="http://schemas.openxmlformats.org/officeDocument/2006/relationships/hyperlink" Target="https://scholar.google.com/scholar_lookup?journal=Pediatr+Nephrol&amp;title=Biopsy-proven+acute+tubular+necrosis+in+a+child+attributed+to+vancomycin+intoxication&amp;author=B.+Wicklow&amp;author=M.+Ogborn&amp;author=I.+Gibson&amp;author=T.+Blydt-Hansen&amp;volume=21&amp;publication_year=2006&amp;pages=1194-1196&amp;pmid=16721580&amp;" TargetMode="External"/><Relationship Id="rId10" Type="http://schemas.openxmlformats.org/officeDocument/2006/relationships/hyperlink" Target="https://www.ncbi.nlm.nih.gov/pmc/articles/PMC4892398/" TargetMode="External"/><Relationship Id="rId31" Type="http://schemas.openxmlformats.org/officeDocument/2006/relationships/hyperlink" Target="https://www.ncbi.nlm.nih.gov/pmc/articles/PMC4892398/" TargetMode="External"/><Relationship Id="rId52" Type="http://schemas.openxmlformats.org/officeDocument/2006/relationships/hyperlink" Target="https://www.ncbi.nlm.nih.gov/pmc/articles/PMC4892398/" TargetMode="External"/><Relationship Id="rId73" Type="http://schemas.openxmlformats.org/officeDocument/2006/relationships/hyperlink" Target="https://www.ncbi.nlm.nih.gov/pmc/articles/PMC4892398/" TargetMode="External"/><Relationship Id="rId78" Type="http://schemas.openxmlformats.org/officeDocument/2006/relationships/hyperlink" Target="https://www.ncbi.nlm.nih.gov/pmc/articles/PMC4892398/" TargetMode="External"/><Relationship Id="rId94" Type="http://schemas.openxmlformats.org/officeDocument/2006/relationships/hyperlink" Target="https://www.ncbi.nlm.nih.gov/pmc/articles/PMC4892398/" TargetMode="External"/><Relationship Id="rId99" Type="http://schemas.openxmlformats.org/officeDocument/2006/relationships/hyperlink" Target="https://www.ncbi.nlm.nih.gov/pmc/articles/PMC4892398/" TargetMode="External"/><Relationship Id="rId101" Type="http://schemas.openxmlformats.org/officeDocument/2006/relationships/hyperlink" Target="https://www.ncbi.nlm.nih.gov/pmc/articles/PMC4892398/" TargetMode="External"/><Relationship Id="rId122" Type="http://schemas.openxmlformats.org/officeDocument/2006/relationships/hyperlink" Target="https://www.ncbi.nlm.nih.gov/pmc/articles/PMC4892398/" TargetMode="External"/><Relationship Id="rId143" Type="http://schemas.openxmlformats.org/officeDocument/2006/relationships/hyperlink" Target="https://www.ncbi.nlm.nih.gov/pmc/articles/PMC4892398/" TargetMode="External"/><Relationship Id="rId148" Type="http://schemas.openxmlformats.org/officeDocument/2006/relationships/hyperlink" Target="https://www.ncbi.nlm.nih.gov/pmc/articles/PMC4892398/" TargetMode="External"/><Relationship Id="rId164" Type="http://schemas.openxmlformats.org/officeDocument/2006/relationships/hyperlink" Target="https://www.ncbi.nlm.nih.gov/pmc/articles/PMC4892398/" TargetMode="External"/><Relationship Id="rId169" Type="http://schemas.openxmlformats.org/officeDocument/2006/relationships/hyperlink" Target="https://www.ncbi.nlm.nih.gov/pmc/articles/PMC4892398/" TargetMode="External"/><Relationship Id="rId185" Type="http://schemas.openxmlformats.org/officeDocument/2006/relationships/hyperlink" Target="https://www.ncbi.nlm.nih.gov/pubmed/20616157" TargetMode="External"/><Relationship Id="rId334" Type="http://schemas.openxmlformats.org/officeDocument/2006/relationships/hyperlink" Target="https://scholar.google.com/scholar_lookup?journal=Clin+Infect+Dis&amp;title=Implementation+of+a+dose+calculator+for+vancomycin+to+achieve+target+trough+levels+of+15%E2%80%9320+microg/mL+in+persons+undergoing+hemodialysis&amp;author=S.+Vandecasteele&amp;author=D.+De+Bacquer&amp;author=A.+De+Vriese&amp;volume=53&amp;publication_year=2011&amp;pages=124-129&amp;pmid=21690618&amp;" TargetMode="External"/><Relationship Id="rId350" Type="http://schemas.openxmlformats.org/officeDocument/2006/relationships/hyperlink" Target="https://www.ncbi.nlm.nih.gov/pmc/articles/PMC3164945/" TargetMode="External"/><Relationship Id="rId355" Type="http://schemas.openxmlformats.org/officeDocument/2006/relationships/hyperlink" Target="https://www.ncbi.nlm.nih.gov/pubmed/25351946" TargetMode="External"/><Relationship Id="rId4" Type="http://schemas.openxmlformats.org/officeDocument/2006/relationships/settings" Target="settings.xml"/><Relationship Id="rId9" Type="http://schemas.openxmlformats.org/officeDocument/2006/relationships/hyperlink" Target="https://www.ncbi.nlm.nih.gov/pmc/articles/PMC4892398/" TargetMode="External"/><Relationship Id="rId180" Type="http://schemas.openxmlformats.org/officeDocument/2006/relationships/hyperlink" Target="https://www.ncbi.nlm.nih.gov/pmc/articles/PMC4892398/" TargetMode="External"/><Relationship Id="rId210" Type="http://schemas.openxmlformats.org/officeDocument/2006/relationships/hyperlink" Target="https://scholar.google.com/scholar_lookup?journal=Anaesth+Intensive+Care&amp;title=Factors+associated+with+vancomycin+nephrotoxicity+in+the+critically+ill&amp;author=T.+Hanrahan&amp;author=C.+Kotapati&amp;author=M.+Roberts&amp;author=J.+Rowland&amp;author=J.+Lipman&amp;volume=43&amp;publication_year=2015&amp;pages=594-599&amp;pmid=26310409&amp;" TargetMode="External"/><Relationship Id="rId215" Type="http://schemas.openxmlformats.org/officeDocument/2006/relationships/hyperlink" Target="https://scholar.google.com/scholar_lookup?journal=Pharmacotherapy&amp;title=Vancomycin+trough+concentrations+in+overweight+or+obese+pediatric+patients&amp;author=D.+Heble&amp;author=C.+McPherson&amp;author=M.+Nelson&amp;author=D.+Hunstad&amp;volume=33&amp;publication_year=2013&amp;pages=1273-1277&amp;pmid=23798327&amp;" TargetMode="External"/><Relationship Id="rId236" Type="http://schemas.openxmlformats.org/officeDocument/2006/relationships/hyperlink" Target="https://www.ncbi.nlm.nih.gov/pubmed/26504822" TargetMode="External"/><Relationship Id="rId257" Type="http://schemas.openxmlformats.org/officeDocument/2006/relationships/hyperlink" Target="https://www.ncbi.nlm.nih.gov/pubmed/17331245" TargetMode="External"/><Relationship Id="rId278" Type="http://schemas.openxmlformats.org/officeDocument/2006/relationships/hyperlink" Target="https://scholar.google.com/scholar_lookup?journal=Toxicology&amp;title=In+vivo+evidences+suggesting+the+role+of+oxidative+stress+in+pathogenesis+of+vancomycin-induced+nephrotoxicity:+protection+by+erdosteine&amp;author=F.+Oktem&amp;author=M.+Arslan&amp;author=F.+Ozguner&amp;author=O.+Candir&amp;author=H.+Yilmaz&amp;volume=215&amp;publication_year=2005&amp;pages=227-233&amp;pmid=16112787&amp;" TargetMode="External"/><Relationship Id="rId26" Type="http://schemas.openxmlformats.org/officeDocument/2006/relationships/hyperlink" Target="https://www.ncbi.nlm.nih.gov/pmc/articles/PMC4892398/" TargetMode="External"/><Relationship Id="rId231" Type="http://schemas.openxmlformats.org/officeDocument/2006/relationships/hyperlink" Target="https://scholar.google.com/scholar_lookup?journal=Pharmacotherapy&amp;title=Biopsy-proved+acute+tubulointerstitial+nephritis+and+toxic+epidermal+necrolysis+associated+with+vancomycin&amp;author=S.+Hsu&amp;volume=21&amp;publication_year=2001&amp;pages=1233-1239&amp;pmid=11601669&amp;" TargetMode="External"/><Relationship Id="rId252" Type="http://schemas.openxmlformats.org/officeDocument/2006/relationships/hyperlink" Target="https://www.ncbi.nlm.nih.gov/pubmed/27818745" TargetMode="External"/><Relationship Id="rId273" Type="http://schemas.openxmlformats.org/officeDocument/2006/relationships/hyperlink" Target="https://www.ncbi.nlm.nih.gov/pubmed/12747731" TargetMode="External"/><Relationship Id="rId294" Type="http://schemas.openxmlformats.org/officeDocument/2006/relationships/hyperlink" Target="https://www.ncbi.nlm.nih.gov/pubmed/26512125" TargetMode="External"/><Relationship Id="rId308" Type="http://schemas.openxmlformats.org/officeDocument/2006/relationships/hyperlink" Target="https://www.ncbi.nlm.nih.gov/pubmed/24768475" TargetMode="External"/><Relationship Id="rId329" Type="http://schemas.openxmlformats.org/officeDocument/2006/relationships/hyperlink" Target="https://www.ncbi.nlm.nih.gov/pubmed/23526674" TargetMode="External"/><Relationship Id="rId47" Type="http://schemas.openxmlformats.org/officeDocument/2006/relationships/hyperlink" Target="https://www.ncbi.nlm.nih.gov/pmc/articles/PMC4892398/" TargetMode="External"/><Relationship Id="rId68" Type="http://schemas.openxmlformats.org/officeDocument/2006/relationships/hyperlink" Target="https://www.ncbi.nlm.nih.gov/pmc/articles/PMC4892398/" TargetMode="External"/><Relationship Id="rId89" Type="http://schemas.openxmlformats.org/officeDocument/2006/relationships/hyperlink" Target="https://www.ncbi.nlm.nih.gov/pmc/articles/PMC4892398/" TargetMode="External"/><Relationship Id="rId112" Type="http://schemas.openxmlformats.org/officeDocument/2006/relationships/hyperlink" Target="https://www.ncbi.nlm.nih.gov/pmc/articles/PMC4892398/" TargetMode="External"/><Relationship Id="rId133" Type="http://schemas.openxmlformats.org/officeDocument/2006/relationships/hyperlink" Target="https://www.ncbi.nlm.nih.gov/pmc/articles/PMC4892398/" TargetMode="External"/><Relationship Id="rId154" Type="http://schemas.openxmlformats.org/officeDocument/2006/relationships/hyperlink" Target="https://www.ncbi.nlm.nih.gov/pmc/articles/PMC4892398/" TargetMode="External"/><Relationship Id="rId175" Type="http://schemas.openxmlformats.org/officeDocument/2006/relationships/hyperlink" Target="https://www.ncbi.nlm.nih.gov/pmc/articles/PMC4892398/" TargetMode="External"/><Relationship Id="rId340" Type="http://schemas.openxmlformats.org/officeDocument/2006/relationships/hyperlink" Target="https://www.ncbi.nlm.nih.gov/pubmed/21130609" TargetMode="External"/><Relationship Id="rId196" Type="http://schemas.openxmlformats.org/officeDocument/2006/relationships/hyperlink" Target="https://www.ncbi.nlm.nih.gov/pmc/articles/PMC184631/" TargetMode="External"/><Relationship Id="rId200" Type="http://schemas.openxmlformats.org/officeDocument/2006/relationships/hyperlink" Target="https://scholar.google.com/scholar_lookup?journal=Clin+Infect+Dis&amp;title=Vancomycin-intermediate+and+-resistant+Staphylococcus+aureus:+what+the+infectious+disease+specialist+needs+to+know&amp;author=S.+Fridkin&amp;volume=32&amp;publication_year=2001&amp;pages=108-115&amp;pmid=11118389&amp;" TargetMode="External"/><Relationship Id="rId16" Type="http://schemas.openxmlformats.org/officeDocument/2006/relationships/hyperlink" Target="https://www.ncbi.nlm.nih.gov/pmc/articles/PMC4892398/" TargetMode="External"/><Relationship Id="rId221" Type="http://schemas.openxmlformats.org/officeDocument/2006/relationships/hyperlink" Target="https://www.ncbi.nlm.nih.gov/pubmed/18030187" TargetMode="External"/><Relationship Id="rId242" Type="http://schemas.openxmlformats.org/officeDocument/2006/relationships/hyperlink" Target="https://scholar.google.com/scholar_lookup?journal=Ann+Pharmacother&amp;title=Late-occurring+vancomycin-associated+acute+kidney+injury+in+children+receiving+prolonged+therapy&amp;author=C.+Knoderer&amp;author=A.+Gritzman&amp;author=K.+Nichols&amp;author=A.+Wilson&amp;volume=49&amp;publication_year=2015&amp;pages=1113-1119&amp;pmid=26160972&amp;" TargetMode="External"/><Relationship Id="rId263" Type="http://schemas.openxmlformats.org/officeDocument/2006/relationships/hyperlink" Target="https://www.ncbi.nlm.nih.gov/pubmed/17296255" TargetMode="External"/><Relationship Id="rId284" Type="http://schemas.openxmlformats.org/officeDocument/2006/relationships/hyperlink" Target="https://www.ncbi.nlm.nih.gov/pubmed/23103440" TargetMode="External"/><Relationship Id="rId319" Type="http://schemas.openxmlformats.org/officeDocument/2006/relationships/hyperlink" Target="https://www.ncbi.nlm.nih.gov/pubmed/19106348" TargetMode="External"/><Relationship Id="rId37" Type="http://schemas.openxmlformats.org/officeDocument/2006/relationships/hyperlink" Target="https://www.ncbi.nlm.nih.gov/pmc/articles/PMC4892398/" TargetMode="External"/><Relationship Id="rId58" Type="http://schemas.openxmlformats.org/officeDocument/2006/relationships/hyperlink" Target="https://www.ncbi.nlm.nih.gov/pmc/articles/PMC4892398/" TargetMode="External"/><Relationship Id="rId79" Type="http://schemas.openxmlformats.org/officeDocument/2006/relationships/hyperlink" Target="https://www.ncbi.nlm.nih.gov/pmc/articles/PMC4892398/" TargetMode="External"/><Relationship Id="rId102" Type="http://schemas.openxmlformats.org/officeDocument/2006/relationships/hyperlink" Target="https://www.ncbi.nlm.nih.gov/pmc/articles/PMC4892398/" TargetMode="External"/><Relationship Id="rId123" Type="http://schemas.openxmlformats.org/officeDocument/2006/relationships/hyperlink" Target="https://www.ncbi.nlm.nih.gov/pmc/articles/PMC4892398/" TargetMode="External"/><Relationship Id="rId144" Type="http://schemas.openxmlformats.org/officeDocument/2006/relationships/hyperlink" Target="https://www.ncbi.nlm.nih.gov/pmc/articles/PMC4892398/" TargetMode="External"/><Relationship Id="rId330" Type="http://schemas.openxmlformats.org/officeDocument/2006/relationships/hyperlink" Target="https://scholar.google.com/scholar_lookup?journal=Pharmacotherapy&amp;title=Acute+kidney+injury+during+vancomycin+therapy+in+critically+ill+children&amp;author=B.+Totapally&amp;author=J.+Machado&amp;author=H.+Lee&amp;author=A.+Paredes&amp;author=A.+Raszynski&amp;volume=33&amp;publication_year=2013&amp;pages=598-602&amp;pmid=23526674&amp;" TargetMode="External"/><Relationship Id="rId90" Type="http://schemas.openxmlformats.org/officeDocument/2006/relationships/hyperlink" Target="https://www.ncbi.nlm.nih.gov/pmc/articles/PMC4892398/" TargetMode="External"/><Relationship Id="rId165" Type="http://schemas.openxmlformats.org/officeDocument/2006/relationships/hyperlink" Target="https://www.ncbi.nlm.nih.gov/pmc/articles/PMC4892398/" TargetMode="External"/><Relationship Id="rId186" Type="http://schemas.openxmlformats.org/officeDocument/2006/relationships/hyperlink" Target="https://scholar.google.com/scholar_lookup?journal=Clin+J+Am+Soc+Nephrol&amp;title=Vancomycin+pharmacokinetics+and+pharmacodynamics+during+short+daily+hemodialysis&amp;author=B.+Decker&amp;author=M.+Kays&amp;author=M.+Chambers&amp;author=M.+Kraus&amp;author=S.+Moe&amp;volume=5&amp;publication_year=2010&amp;pages=1981-1987&amp;pmid=20616157&amp;" TargetMode="External"/><Relationship Id="rId351" Type="http://schemas.openxmlformats.org/officeDocument/2006/relationships/hyperlink" Target="https://www.ncbi.nlm.nih.gov/pubmed/21823662" TargetMode="External"/><Relationship Id="rId211" Type="http://schemas.openxmlformats.org/officeDocument/2006/relationships/hyperlink" Target="https://www.ncbi.nlm.nih.gov/pmc/articles/PMC2737835/" TargetMode="External"/><Relationship Id="rId232" Type="http://schemas.openxmlformats.org/officeDocument/2006/relationships/hyperlink" Target="https://www.ncbi.nlm.nih.gov/pmc/articles/PMC4687441/" TargetMode="External"/><Relationship Id="rId253" Type="http://schemas.openxmlformats.org/officeDocument/2006/relationships/hyperlink" Target="https://scholar.google.com/scholar_lookup?journal=Clin+Kidney+J&amp;title=The+RIFLE+and+AKIN+classifications+for+acute+kidney+injury:+a+critical+and+comprehensive+review&amp;author=J.+Lopes&amp;author=S.+Jorge&amp;volume=6&amp;publication_year=2013&amp;pages=8-14&amp;" TargetMode="External"/><Relationship Id="rId274" Type="http://schemas.openxmlformats.org/officeDocument/2006/relationships/hyperlink" Target="https://scholar.google.com/scholar_lookup?journal=Free+Radic+Res&amp;title=Targeting+superoxide+dismutase+to+renal+proximal+tubule+cells+attenuates+vancomycin-induced+nephrotoxicity+in+rats&amp;author=Y.+Nishino&amp;author=S.+Takemura&amp;author=Y.+Minamiyama&amp;author=K.+Hirohashi&amp;author=T.+Ogino&amp;volume=37&amp;publication_year=2003&amp;pages=373-379&amp;pmid=12747731&amp;" TargetMode="External"/><Relationship Id="rId295" Type="http://schemas.openxmlformats.org/officeDocument/2006/relationships/hyperlink" Target="https://scholar.google.com/scholar_lookup?journal=Postgrad+Med+J&amp;title=Improving+outcomes+in+patients+with+acute+kidney+injury:+the+impact+of+hospital+based+automated+AKI+alerts&amp;author=M.+Prendecki&amp;author=E.+Blacker&amp;author=O.+Sadeghi-Alavijeh&amp;author=R.+Edwards&amp;author=H.+Montgomery&amp;volume=92&amp;publication_year=2016&amp;pages=9-13&amp;pmid=26512125&amp;" TargetMode="External"/><Relationship Id="rId309" Type="http://schemas.openxmlformats.org/officeDocument/2006/relationships/hyperlink" Target="https://scholar.google.com/scholar_lookup?journal=Lancet+Infect+Dis&amp;title=International+Society+of+Anti-Infective+Pharmacology+and+the+Pharmacokinetics+and+Pharmacodynamics+Study+Group+of+the+European+Society+of+Clinical+Microbiology+and+Infectious+Diseases.+Individualised+antibiotic+dosing+for+patients+who+are+critically+ill:+challenges+and+potential+solutions&amp;author=J.+Roberts&amp;author=M.+Abdul-Aziz&amp;author=J.+Lipman&amp;author=J.+Mouton&amp;author=A.+Vinks&amp;volume=14&amp;publication_year=2014&amp;pages=498-509&amp;pmid=24768475&amp;" TargetMode="External"/><Relationship Id="rId27" Type="http://schemas.openxmlformats.org/officeDocument/2006/relationships/hyperlink" Target="https://www.ncbi.nlm.nih.gov/pmc/articles/PMC4892398/" TargetMode="External"/><Relationship Id="rId48" Type="http://schemas.openxmlformats.org/officeDocument/2006/relationships/hyperlink" Target="https://www.ncbi.nlm.nih.gov/pmc/articles/PMC4892398/" TargetMode="External"/><Relationship Id="rId69" Type="http://schemas.openxmlformats.org/officeDocument/2006/relationships/hyperlink" Target="https://www.ncbi.nlm.nih.gov/pmc/articles/PMC4892398/" TargetMode="External"/><Relationship Id="rId113" Type="http://schemas.openxmlformats.org/officeDocument/2006/relationships/hyperlink" Target="https://www.ncbi.nlm.nih.gov/pmc/articles/PMC4892398/" TargetMode="External"/><Relationship Id="rId134" Type="http://schemas.openxmlformats.org/officeDocument/2006/relationships/hyperlink" Target="https://www.ncbi.nlm.nih.gov/pmc/articles/PMC4892398/" TargetMode="External"/><Relationship Id="rId320" Type="http://schemas.openxmlformats.org/officeDocument/2006/relationships/hyperlink" Target="https://scholar.google.com/scholar_lookup?journal=Am+J+Health+Syst+Pharm&amp;title=Therapeutic+monitoring+of+vancomycin+in+adult+patients:+a+consensus+review+of+the+American+Society+of+Health-System+Pharmacists,+the+Infectious+Diseases+Society+of+America,+and+the+Society+of+Infectious+Diseases+Pharmacists&amp;author=M.+Rybak&amp;author=B.+Lomaestro&amp;author=J.+Rotschafer&amp;author=R.+Moellering&amp;author=W.+Craig&amp;volume=66&amp;publication_year=2009&amp;pages=82-98&amp;pmid=19106348&amp;" TargetMode="External"/><Relationship Id="rId80" Type="http://schemas.openxmlformats.org/officeDocument/2006/relationships/hyperlink" Target="https://www.ncbi.nlm.nih.gov/pmc/articles/PMC4892398/" TargetMode="External"/><Relationship Id="rId155" Type="http://schemas.openxmlformats.org/officeDocument/2006/relationships/hyperlink" Target="https://www.ncbi.nlm.nih.gov/pmc/articles/PMC4892398/" TargetMode="External"/><Relationship Id="rId176" Type="http://schemas.openxmlformats.org/officeDocument/2006/relationships/hyperlink" Target="https://www.ncbi.nlm.nih.gov/pmc/articles/PMC4892398/" TargetMode="External"/><Relationship Id="rId197" Type="http://schemas.openxmlformats.org/officeDocument/2006/relationships/hyperlink" Target="https://www.ncbi.nlm.nih.gov/pubmed/6219616" TargetMode="External"/><Relationship Id="rId341" Type="http://schemas.openxmlformats.org/officeDocument/2006/relationships/hyperlink" Target="https://scholar.google.com/scholar_lookup?journal=Int+J+Antimicrob+Agents&amp;title=Vancomycin-associated+nephrotoxicity:+a+critical+appraisal+of+risk+with+high-dose+therapy&amp;author=A.+Wong-Beringer&amp;author=J.+Joo&amp;author=E.+Tse&amp;author=P.+Beringer&amp;volume=37&amp;publication_year=2011&amp;pages=95-101&amp;pmid=21130609&amp;" TargetMode="External"/><Relationship Id="rId201" Type="http://schemas.openxmlformats.org/officeDocument/2006/relationships/hyperlink" Target="https://www.ncbi.nlm.nih.gov/pubmed/24753221" TargetMode="External"/><Relationship Id="rId222" Type="http://schemas.openxmlformats.org/officeDocument/2006/relationships/hyperlink" Target="https://scholar.google.com/scholar_lookup?journal=Am+J+Med+Sci&amp;title=Vancomycin-induced+acute+granulomatous+interstitial+nephritis:+therapeutic+options&amp;author=S.+Hong&amp;author=E.+Valderrama&amp;author=J.+Mattana&amp;author=H.+Shah&amp;author=J.+Wagner&amp;volume=334&amp;publication_year=2007&amp;pages=296-300&amp;pmid=18030187&amp;" TargetMode="External"/><Relationship Id="rId243" Type="http://schemas.openxmlformats.org/officeDocument/2006/relationships/hyperlink" Target="https://www.ncbi.nlm.nih.gov/pubmed/21923425" TargetMode="External"/><Relationship Id="rId264" Type="http://schemas.openxmlformats.org/officeDocument/2006/relationships/hyperlink" Target="https://scholar.google.com/scholar_lookup?journal=Toxicology&amp;title=The+effect+of+2,3-dihydroxybenzoic+acid+and+Tempol+in+prevention+of+vancomycin-induced+nephrotoxicity+in+rats&amp;author=B.+Naghibi&amp;author=T.+Ghafghazi&amp;author=V.+Hajhashemi&amp;author=A.+Talebi&amp;author=D.+Taheri&amp;volume=232&amp;publication_year=2007&amp;pages=192-199&amp;pmid=17296255&amp;" TargetMode="External"/><Relationship Id="rId285" Type="http://schemas.openxmlformats.org/officeDocument/2006/relationships/hyperlink" Target="https://scholar.google.com/scholar_lookup?journal=Am+J+Med+Sci&amp;title=Risk+of+vancomycin-induced+nephrotoxicity+in+the+population+with+chronic+kidney+disease&amp;author=B.+Panwar&amp;author=V.+Johnson&amp;author=M.+Patel&amp;author=D.+Balkovetz&amp;volume=345&amp;publication_year=2013&amp;pages=396-399&amp;pmid=23103440&amp;" TargetMode="External"/><Relationship Id="rId17" Type="http://schemas.openxmlformats.org/officeDocument/2006/relationships/hyperlink" Target="https://www.ncbi.nlm.nih.gov/pmc/articles/PMC4892398/" TargetMode="External"/><Relationship Id="rId38" Type="http://schemas.openxmlformats.org/officeDocument/2006/relationships/hyperlink" Target="https://www.ncbi.nlm.nih.gov/pmc/articles/PMC4892398/" TargetMode="External"/><Relationship Id="rId59" Type="http://schemas.openxmlformats.org/officeDocument/2006/relationships/hyperlink" Target="https://www.ncbi.nlm.nih.gov/pmc/articles/PMC4892398/" TargetMode="External"/><Relationship Id="rId103" Type="http://schemas.openxmlformats.org/officeDocument/2006/relationships/hyperlink" Target="https://www.ncbi.nlm.nih.gov/pmc/articles/PMC4892398/" TargetMode="External"/><Relationship Id="rId124" Type="http://schemas.openxmlformats.org/officeDocument/2006/relationships/hyperlink" Target="https://www.ncbi.nlm.nih.gov/pmc/articles/PMC4892398/" TargetMode="External"/><Relationship Id="rId310" Type="http://schemas.openxmlformats.org/officeDocument/2006/relationships/hyperlink" Target="https://www.ncbi.nlm.nih.gov/pmc/articles/PMC3101407/" TargetMode="External"/><Relationship Id="rId70" Type="http://schemas.openxmlformats.org/officeDocument/2006/relationships/hyperlink" Target="https://www.ncbi.nlm.nih.gov/pmc/articles/PMC4892398/" TargetMode="External"/><Relationship Id="rId91" Type="http://schemas.openxmlformats.org/officeDocument/2006/relationships/hyperlink" Target="https://www.ncbi.nlm.nih.gov/pmc/articles/PMC4892398/" TargetMode="External"/><Relationship Id="rId145" Type="http://schemas.openxmlformats.org/officeDocument/2006/relationships/hyperlink" Target="https://www.ncbi.nlm.nih.gov/pmc/articles/PMC4892398/" TargetMode="External"/><Relationship Id="rId166" Type="http://schemas.openxmlformats.org/officeDocument/2006/relationships/hyperlink" Target="https://www.ncbi.nlm.nih.gov/pmc/articles/PMC4892398/" TargetMode="External"/><Relationship Id="rId187" Type="http://schemas.openxmlformats.org/officeDocument/2006/relationships/hyperlink" Target="https://www.ncbi.nlm.nih.gov/pubmed/25700932" TargetMode="External"/><Relationship Id="rId331" Type="http://schemas.openxmlformats.org/officeDocument/2006/relationships/hyperlink" Target="https://www.ncbi.nlm.nih.gov/pubmed/16106006" TargetMode="External"/><Relationship Id="rId352" Type="http://schemas.openxmlformats.org/officeDocument/2006/relationships/hyperlink" Target="https://scholar.google.com/scholar_lookup?journal=J+Am+Chem+Soc&amp;title=A+redesigned+vancomycin+engineered+for+dual+D-Ala-D-Ala+and+D-Ala-D-Lac+binding+exhibits+potent+antimicrobial+activity+against+vancomycin-resistant+bacteria&amp;author=J.+Xie&amp;author=J.+Pierce&amp;author=R.+James&amp;author=A.+Okano&amp;author=D.+Boger&amp;volume=133&amp;publication_year=2011&amp;pages=13946-13949&amp;pmid=21823662&amp;" TargetMode="External"/><Relationship Id="rId1" Type="http://schemas.openxmlformats.org/officeDocument/2006/relationships/numbering" Target="numbering.xml"/><Relationship Id="rId212" Type="http://schemas.openxmlformats.org/officeDocument/2006/relationships/hyperlink" Target="https://www.ncbi.nlm.nih.gov/pubmed/19596879" TargetMode="External"/><Relationship Id="rId233" Type="http://schemas.openxmlformats.org/officeDocument/2006/relationships/hyperlink" Target="https://www.ncbi.nlm.nih.gov/pubmed/26573558" TargetMode="External"/><Relationship Id="rId254" Type="http://schemas.openxmlformats.org/officeDocument/2006/relationships/hyperlink" Target="https://www.ncbi.nlm.nih.gov/pubmed/25756622" TargetMode="External"/><Relationship Id="rId28" Type="http://schemas.openxmlformats.org/officeDocument/2006/relationships/hyperlink" Target="https://www.ncbi.nlm.nih.gov/pmc/articles/PMC4892398/" TargetMode="External"/><Relationship Id="rId49" Type="http://schemas.openxmlformats.org/officeDocument/2006/relationships/hyperlink" Target="https://www.ncbi.nlm.nih.gov/pmc/articles/PMC4892398/" TargetMode="External"/><Relationship Id="rId114" Type="http://schemas.openxmlformats.org/officeDocument/2006/relationships/hyperlink" Target="https://www.ncbi.nlm.nih.gov/pmc/articles/PMC4892398/" TargetMode="External"/><Relationship Id="rId275" Type="http://schemas.openxmlformats.org/officeDocument/2006/relationships/hyperlink" Target="https://www.ncbi.nlm.nih.gov/pubmed/17448119" TargetMode="External"/><Relationship Id="rId296" Type="http://schemas.openxmlformats.org/officeDocument/2006/relationships/hyperlink" Target="https://www.ncbi.nlm.nih.gov/pubmed/26497475" TargetMode="External"/><Relationship Id="rId300" Type="http://schemas.openxmlformats.org/officeDocument/2006/relationships/hyperlink" Target="https://scholar.google.com/scholar_lookup?journal=Infect+Dis+Ther&amp;title=Incidence+and+predisposing+factors+of+vancomycin-induced+nephrotoxicity+in+children&amp;author=A.+Ragab&amp;author=M.+Al-Mazroua&amp;author=M.+Al-Harony&amp;volume=2&amp;publication_year=2013&amp;pages=37-46&amp;pmid=25135822&amp;" TargetMode="External"/><Relationship Id="rId60" Type="http://schemas.openxmlformats.org/officeDocument/2006/relationships/hyperlink" Target="https://www.ncbi.nlm.nih.gov/pmc/articles/PMC4892398/" TargetMode="External"/><Relationship Id="rId81" Type="http://schemas.openxmlformats.org/officeDocument/2006/relationships/hyperlink" Target="https://www.ncbi.nlm.nih.gov/pmc/articles/PMC4892398/" TargetMode="External"/><Relationship Id="rId135" Type="http://schemas.openxmlformats.org/officeDocument/2006/relationships/hyperlink" Target="https://www.ncbi.nlm.nih.gov/pmc/articles/PMC4892398/" TargetMode="External"/><Relationship Id="rId156" Type="http://schemas.openxmlformats.org/officeDocument/2006/relationships/hyperlink" Target="https://www.ncbi.nlm.nih.gov/pmc/articles/PMC4892398/" TargetMode="External"/><Relationship Id="rId177" Type="http://schemas.openxmlformats.org/officeDocument/2006/relationships/hyperlink" Target="https://www.ncbi.nlm.nih.gov/pmc/articles/PMC4892398/" TargetMode="External"/><Relationship Id="rId198" Type="http://schemas.openxmlformats.org/officeDocument/2006/relationships/hyperlink" Target="https://scholar.google.com/scholar_lookup?journal=Antimicrob+Agents+Chemother&amp;title=Retrospective+study+of+the+toxicity+of+preparations+of+vancomycin+from+1974+to+1981&amp;author=B.+Farber&amp;author=R.+Moellering&amp;volume=23&amp;publication_year=1983&amp;pages=138-141&amp;pmid=6219616&amp;" TargetMode="External"/><Relationship Id="rId321" Type="http://schemas.openxmlformats.org/officeDocument/2006/relationships/hyperlink" Target="https://www.ncbi.nlm.nih.gov/pubmed/25186624" TargetMode="External"/><Relationship Id="rId342" Type="http://schemas.openxmlformats.org/officeDocument/2006/relationships/hyperlink" Target="https://www.ncbi.nlm.nih.gov/pmc/articles/PMC176427/" TargetMode="External"/><Relationship Id="rId202" Type="http://schemas.openxmlformats.org/officeDocument/2006/relationships/hyperlink" Target="https://scholar.google.com/scholar_lookup?journal=Pharmacotherapy&amp;title=Comparison+of+acute+kidney+injury+during+treatment+with+vancomycin+in+combination+with+piperacillin-tazobactam+or+cefepime&amp;author=D.+Gomes&amp;author=C.+Smotherman&amp;author=A.+Birch&amp;author=L.+Dupree&amp;author=B.+Della+Vecchia&amp;volume=34&amp;publication_year=2014&amp;pages=662-669&amp;pmid=24753221&amp;" TargetMode="External"/><Relationship Id="rId223" Type="http://schemas.openxmlformats.org/officeDocument/2006/relationships/hyperlink" Target="https://www.ncbi.nlm.nih.gov/pubmed/23073306" TargetMode="External"/><Relationship Id="rId244" Type="http://schemas.openxmlformats.org/officeDocument/2006/relationships/hyperlink" Target="https://scholar.google.com/scholar_lookup?journal=Pharmacotherapy&amp;title=Validation+of+the+effectiveness+of+a+vancomycin+nomogram+in+achieving+target+trough+concentrations+of+15%E2%80%9320+mg/L+suggested+by+the+vancomycin+consensus+guidelines&amp;author=R.+Kullar&amp;author=S.+Leonard&amp;author=S.+Davis&amp;author=G.+Delgado&amp;author=J.+Pogue&amp;volume=31&amp;publication_year=2011&amp;pages=441-448&amp;pmid=21923425&amp;" TargetMode="External"/><Relationship Id="rId18" Type="http://schemas.openxmlformats.org/officeDocument/2006/relationships/hyperlink" Target="https://www.ncbi.nlm.nih.gov/pmc/articles/PMC4892398/" TargetMode="External"/><Relationship Id="rId39" Type="http://schemas.openxmlformats.org/officeDocument/2006/relationships/hyperlink" Target="https://www.ncbi.nlm.nih.gov/pmc/articles/PMC4892398/" TargetMode="External"/><Relationship Id="rId265" Type="http://schemas.openxmlformats.org/officeDocument/2006/relationships/hyperlink" Target="https://www.ncbi.nlm.nih.gov/pubmed/3608631" TargetMode="External"/><Relationship Id="rId286" Type="http://schemas.openxmlformats.org/officeDocument/2006/relationships/hyperlink" Target="https://www.ncbi.nlm.nih.gov/pubmed/26389593" TargetMode="External"/><Relationship Id="rId50" Type="http://schemas.openxmlformats.org/officeDocument/2006/relationships/hyperlink" Target="https://www.ncbi.nlm.nih.gov/pmc/articles/PMC4892398/" TargetMode="External"/><Relationship Id="rId104" Type="http://schemas.openxmlformats.org/officeDocument/2006/relationships/hyperlink" Target="https://www.ncbi.nlm.nih.gov/pmc/articles/PMC4892398/" TargetMode="External"/><Relationship Id="rId125" Type="http://schemas.openxmlformats.org/officeDocument/2006/relationships/hyperlink" Target="https://www.ncbi.nlm.nih.gov/pmc/articles/PMC4892398/" TargetMode="External"/><Relationship Id="rId146" Type="http://schemas.openxmlformats.org/officeDocument/2006/relationships/hyperlink" Target="https://www.ncbi.nlm.nih.gov/pmc/articles/PMC4892398/" TargetMode="External"/><Relationship Id="rId167" Type="http://schemas.openxmlformats.org/officeDocument/2006/relationships/hyperlink" Target="https://www.ncbi.nlm.nih.gov/pmc/articles/PMC4892398/" TargetMode="External"/><Relationship Id="rId188" Type="http://schemas.openxmlformats.org/officeDocument/2006/relationships/hyperlink" Target="https://scholar.google.com/scholar_lookup?journal=J+Nephrol&amp;title=Chronic+kidney+disease+progression+is+mainly+associated+with+non-recovery+of+acute+kidney+injury&amp;author=E.+D%E2%80%99Hoore&amp;author=N.+Neirynck&amp;author=E.+Schepers&amp;author=R.+Vanholder&amp;author=F.+Verbeke&amp;volume=28&amp;publication_year=2015&amp;pages=709-716&amp;pmid=25700932&amp;" TargetMode="External"/><Relationship Id="rId311" Type="http://schemas.openxmlformats.org/officeDocument/2006/relationships/hyperlink" Target="https://www.ncbi.nlm.nih.gov/pubmed/21402850" TargetMode="External"/><Relationship Id="rId332" Type="http://schemas.openxmlformats.org/officeDocument/2006/relationships/hyperlink" Target="https://scholar.google.com/scholar_lookup?journal=J+Am+Med+Assoc&amp;title=Acute+renal+failure+in+critically+ill+patients:+a+multinational,+multicenter+study&amp;author=S.+Uchino&amp;author=J.+Kellum&amp;author=R.+Bellomo&amp;author=G.+Doig&amp;author=H.+Morimatsu&amp;volume=294&amp;publication_year=2005&amp;pages=813-818&amp;" TargetMode="External"/><Relationship Id="rId353" Type="http://schemas.openxmlformats.org/officeDocument/2006/relationships/hyperlink" Target="https://www.ncbi.nlm.nih.gov/pubmed/26325316" TargetMode="External"/><Relationship Id="rId71" Type="http://schemas.openxmlformats.org/officeDocument/2006/relationships/hyperlink" Target="https://www.ncbi.nlm.nih.gov/pmc/articles/PMC4892398/" TargetMode="External"/><Relationship Id="rId92" Type="http://schemas.openxmlformats.org/officeDocument/2006/relationships/hyperlink" Target="https://www.ncbi.nlm.nih.gov/pmc/articles/PMC4892398/" TargetMode="External"/><Relationship Id="rId213" Type="http://schemas.openxmlformats.org/officeDocument/2006/relationships/hyperlink" Target="https://scholar.google.com/scholar_lookup?journal=Antimicrob+Agents+Chemother&amp;title=Pharmacodynamics+of+vancomycin+at+simulated+epithelial+lining+fluid+concentrations+against+methicillin-resistant+Staphylococcus+aureus+(MRSA):+implications+for+dosing+in+MRSA+pneumonia&amp;author=Y.+Harigaya&amp;author=J.+Bulitta&amp;author=A.+Forrest&amp;author=G.+Sakoulas&amp;author=A.+Lesse&amp;volume=53&amp;publication_year=2009&amp;pages=3894-3901&amp;pmid=19596879&amp;" TargetMode="External"/><Relationship Id="rId234" Type="http://schemas.openxmlformats.org/officeDocument/2006/relationships/hyperlink" Target="https://scholar.google.com/scholar_lookup?journal=Int+J+Mol+Med&amp;title=Resveratrol+alleviates+the+cytotoxicity+induced+by+the+radiocontrast+agent,+ioxitalamate,+by+reducing+the+production+of+reactive+oxygen+species+in+HK-2+human+renal+proximal+tubule+epithelial+cells+in+vitro&amp;author=Y.+Huang&amp;author=Y.+Chen&amp;author=Y.+Lai&amp;author=C.+Cheng&amp;author=T.+Lin&amp;volume=37&amp;publication_year=2016&amp;pages=83-91&amp;pmid=26573558&amp;" TargetMode="External"/><Relationship Id="rId2" Type="http://schemas.openxmlformats.org/officeDocument/2006/relationships/styles" Target="styles.xml"/><Relationship Id="rId29" Type="http://schemas.openxmlformats.org/officeDocument/2006/relationships/hyperlink" Target="https://www.ncbi.nlm.nih.gov/pmc/articles/PMC4892398/" TargetMode="External"/><Relationship Id="rId255" Type="http://schemas.openxmlformats.org/officeDocument/2006/relationships/hyperlink" Target="https://scholar.google.com/scholar_lookup?journal=Pharmacotherapy&amp;title=Assessment+of+initial+serum+vancomycin+trough+concentrations+and+their+association+with+initial+empirical+weight-based+vancomycin+dosing+and+development+of+nephrotoxicity+in+children:+a+multicenter+retrospective+study&amp;author=K.+Matson&amp;author=C.+Shaffer&amp;author=G.+Beck&amp;author=K.+Simonsen&amp;volume=35&amp;publication_year=2015&amp;pages=337-343&amp;pmid=25756622&amp;" TargetMode="External"/><Relationship Id="rId276" Type="http://schemas.openxmlformats.org/officeDocument/2006/relationships/hyperlink" Target="https://scholar.google.com/scholar_lookup?journal=Basic+Clin+Pharmacol+Toxicol&amp;title=Protective+effects+of+caffeic+acid+phenethyl+ester,+vitamin+C,+vitamin+E+and+N-acetylcysteine+on+vancomycin-induced+nephrotoxicity+in+rats&amp;author=S.+Ocak&amp;author=S.+Gorur&amp;author=S.+Hakverdi&amp;author=S.+Celik&amp;author=S.+Erdogan&amp;volume=100&amp;publication_year=2007&amp;pages=328-333&amp;pmid=17448119&amp;" TargetMode="External"/><Relationship Id="rId297" Type="http://schemas.openxmlformats.org/officeDocument/2006/relationships/hyperlink" Target="https://scholar.google.com/scholar_lookup?journal=Pharmacotherapy&amp;title=Vancomycin+trough+concentration+as+a+predictor+of+clinical+outcomes+in+patients+with+Staphylococcus+aureus+bacteremia:+a+meta-analysis+of+observational+studies&amp;author=J.+Prybylski&amp;volume=35&amp;publication_year=2015&amp;pages=889-898&amp;pmid=26497475&amp;" TargetMode="External"/><Relationship Id="rId40" Type="http://schemas.openxmlformats.org/officeDocument/2006/relationships/hyperlink" Target="https://www.ncbi.nlm.nih.gov/pmc/articles/PMC4892398/" TargetMode="External"/><Relationship Id="rId115" Type="http://schemas.openxmlformats.org/officeDocument/2006/relationships/hyperlink" Target="https://www.ncbi.nlm.nih.gov/pmc/articles/PMC4892398/" TargetMode="External"/><Relationship Id="rId136" Type="http://schemas.openxmlformats.org/officeDocument/2006/relationships/hyperlink" Target="https://www.ncbi.nlm.nih.gov/pmc/articles/PMC4892398/" TargetMode="External"/><Relationship Id="rId157" Type="http://schemas.openxmlformats.org/officeDocument/2006/relationships/hyperlink" Target="https://www.ncbi.nlm.nih.gov/pmc/articles/PMC4892398/" TargetMode="External"/><Relationship Id="rId178" Type="http://schemas.openxmlformats.org/officeDocument/2006/relationships/hyperlink" Target="https://www.ncbi.nlm.nih.gov/pmc/articles/PMC4892398/" TargetMode="External"/><Relationship Id="rId301" Type="http://schemas.openxmlformats.org/officeDocument/2006/relationships/hyperlink" Target="https://www.ncbi.nlm.nih.gov/pmc/articles/PMC2911550/" TargetMode="External"/><Relationship Id="rId322" Type="http://schemas.openxmlformats.org/officeDocument/2006/relationships/hyperlink" Target="https://scholar.google.com/scholar_lookup?journal=Ann+Pharmacother&amp;title=Factors+associated+with+acute+kidney+injury+in+children+receiving+vancomycin&amp;author=E.+Sinclair&amp;author=G.+Yenokyan&amp;author=A.+McMunn&amp;author=J.+Fadrowski&amp;author=A.+Milstone&amp;volume=48&amp;publication_year=2014&amp;pages=1555-1562&amp;pmid=25186624&amp;" TargetMode="External"/><Relationship Id="rId343" Type="http://schemas.openxmlformats.org/officeDocument/2006/relationships/hyperlink" Target="https://www.ncbi.nlm.nih.gov/pubmed/3752981" TargetMode="External"/><Relationship Id="rId61" Type="http://schemas.openxmlformats.org/officeDocument/2006/relationships/hyperlink" Target="https://www.ncbi.nlm.nih.gov/pmc/articles/PMC4892398/" TargetMode="External"/><Relationship Id="rId82" Type="http://schemas.openxmlformats.org/officeDocument/2006/relationships/hyperlink" Target="https://www.ncbi.nlm.nih.gov/pmc/articles/PMC4892398/" TargetMode="External"/><Relationship Id="rId199" Type="http://schemas.openxmlformats.org/officeDocument/2006/relationships/hyperlink" Target="https://www.ncbi.nlm.nih.gov/pubmed/11118389" TargetMode="External"/><Relationship Id="rId203" Type="http://schemas.openxmlformats.org/officeDocument/2006/relationships/hyperlink" Target="https://www.ncbi.nlm.nih.gov/pubmed/2657616" TargetMode="External"/><Relationship Id="rId19" Type="http://schemas.openxmlformats.org/officeDocument/2006/relationships/hyperlink" Target="https://www.ncbi.nlm.nih.gov/pmc/articles/PMC4892398/" TargetMode="External"/><Relationship Id="rId224" Type="http://schemas.openxmlformats.org/officeDocument/2006/relationships/hyperlink" Target="https://scholar.google.com/scholar_lookup?journal=Ann+Pharmacother&amp;title=The+relationship+of+nephrotoxicity+to+vancomycin+trough+serum+concentrations+in+a+veteran%E2%80%99s+population:+a+retrospective+analysis&amp;author=A.+Horey&amp;author=K.+Mergenhagen&amp;author=A.+Mattappallil&amp;volume=46&amp;publication_year=2012&amp;pages=1477-1483&amp;pmid=23073306&amp;" TargetMode="External"/><Relationship Id="rId245" Type="http://schemas.openxmlformats.org/officeDocument/2006/relationships/hyperlink" Target="https://www.ncbi.nlm.nih.gov/pmc/articles/PMC4475435/" TargetMode="External"/><Relationship Id="rId266" Type="http://schemas.openxmlformats.org/officeDocument/2006/relationships/hyperlink" Target="https://scholar.google.com/scholar_lookup?journal=Chemotherapy&amp;title=Lack+of+nephrotoxicity+in+pediatric+patients+receiving+concurrent+vancomycin+and+aminoglycoside+therapy&amp;author=M.+Nahata&amp;volume=33&amp;publication_year=1987&amp;pages=302-304&amp;pmid=3608631&amp;" TargetMode="External"/><Relationship Id="rId287" Type="http://schemas.openxmlformats.org/officeDocument/2006/relationships/hyperlink" Target="https://scholar.google.com/scholar_lookup?journal=Nephron&amp;title=Acute+kidney+injury+and+renal+recovery+with+the+use+of+aminoglycosides:+a+large+retrospective+study&amp;author=F.+Paquette&amp;author=A.+Bernier-Jean&amp;author=V.+Brunette&amp;author=H.+Ammann&amp;author=V.+Lavergne&amp;volume=131&amp;publication_year=2015&amp;pages=153-160&amp;pmid=26389593&amp;" TargetMode="External"/><Relationship Id="rId30" Type="http://schemas.openxmlformats.org/officeDocument/2006/relationships/hyperlink" Target="https://www.ncbi.nlm.nih.gov/pmc/articles/PMC4892398/" TargetMode="External"/><Relationship Id="rId105" Type="http://schemas.openxmlformats.org/officeDocument/2006/relationships/hyperlink" Target="https://www.ncbi.nlm.nih.gov/pmc/articles/PMC4892398/" TargetMode="External"/><Relationship Id="rId126" Type="http://schemas.openxmlformats.org/officeDocument/2006/relationships/hyperlink" Target="https://www.ncbi.nlm.nih.gov/pmc/articles/PMC4892398/" TargetMode="External"/><Relationship Id="rId147" Type="http://schemas.openxmlformats.org/officeDocument/2006/relationships/hyperlink" Target="https://www.ncbi.nlm.nih.gov/pmc/articles/PMC4892398/" TargetMode="External"/><Relationship Id="rId168" Type="http://schemas.openxmlformats.org/officeDocument/2006/relationships/hyperlink" Target="https://www.ncbi.nlm.nih.gov/pmc/articles/PMC4892398/" TargetMode="External"/><Relationship Id="rId312" Type="http://schemas.openxmlformats.org/officeDocument/2006/relationships/hyperlink" Target="https://scholar.google.com/scholar_lookup?journal=Antimicrob+Agents+Chemother&amp;title=Vancomycin+dosing+in+critically+ill+patients:+robust+methods+for+improved+continuous-infusion+regimens&amp;author=J.+Roberts&amp;author=F.+Taccone&amp;author=A.+Udy&amp;author=J.+Vincent&amp;author=F.+Jacobs&amp;volume=55&amp;publication_year=2011&amp;pages=2704-2709&amp;pmid=21402850&amp;" TargetMode="External"/><Relationship Id="rId333" Type="http://schemas.openxmlformats.org/officeDocument/2006/relationships/hyperlink" Target="https://www.ncbi.nlm.nih.gov/pubmed/21690618" TargetMode="External"/><Relationship Id="rId354" Type="http://schemas.openxmlformats.org/officeDocument/2006/relationships/hyperlink" Target="https://scholar.google.com/scholar_lookup?journal=Int+J+Pharm&amp;title=Chitosan+coated+vancomycin+hydrochloride+liposomes:+characterizations+and+evaluation&amp;author=Z.+Yang&amp;author=J.+Liu&amp;author=J.+Gao&amp;author=S.+Chen&amp;author=G.+Huang&amp;volume=495&amp;publication_year=2015&amp;pages=508-515&amp;pmid=26325316&amp;" TargetMode="External"/><Relationship Id="rId51" Type="http://schemas.openxmlformats.org/officeDocument/2006/relationships/hyperlink" Target="https://www.ncbi.nlm.nih.gov/pmc/articles/PMC4892398/" TargetMode="External"/><Relationship Id="rId72" Type="http://schemas.openxmlformats.org/officeDocument/2006/relationships/hyperlink" Target="https://www.ncbi.nlm.nih.gov/pmc/articles/PMC4892398/" TargetMode="External"/><Relationship Id="rId93" Type="http://schemas.openxmlformats.org/officeDocument/2006/relationships/hyperlink" Target="https://www.ncbi.nlm.nih.gov/pmc/articles/PMC4892398/" TargetMode="External"/><Relationship Id="rId189" Type="http://schemas.openxmlformats.org/officeDocument/2006/relationships/hyperlink" Target="https://www.ncbi.nlm.nih.gov/pubmed/23386074" TargetMode="External"/><Relationship Id="rId3" Type="http://schemas.microsoft.com/office/2007/relationships/stylesWithEffects" Target="stylesWithEffects.xml"/><Relationship Id="rId214" Type="http://schemas.openxmlformats.org/officeDocument/2006/relationships/hyperlink" Target="https://www.ncbi.nlm.nih.gov/pubmed/23798327" TargetMode="External"/><Relationship Id="rId235" Type="http://schemas.openxmlformats.org/officeDocument/2006/relationships/hyperlink" Target="https://www.ncbi.nlm.nih.gov/pmc/articles/PMC4609390/" TargetMode="External"/><Relationship Id="rId256" Type="http://schemas.openxmlformats.org/officeDocument/2006/relationships/hyperlink" Target="https://www.ncbi.nlm.nih.gov/pmc/articles/PMC2206446/" TargetMode="External"/><Relationship Id="rId277" Type="http://schemas.openxmlformats.org/officeDocument/2006/relationships/hyperlink" Target="https://www.ncbi.nlm.nih.gov/pubmed/16112787" TargetMode="External"/><Relationship Id="rId298" Type="http://schemas.openxmlformats.org/officeDocument/2006/relationships/hyperlink" Target="https://www.ncbi.nlm.nih.gov/pmc/articles/PMC4108093/" TargetMode="External"/><Relationship Id="rId116" Type="http://schemas.openxmlformats.org/officeDocument/2006/relationships/hyperlink" Target="https://www.ncbi.nlm.nih.gov/pmc/articles/PMC4892398/" TargetMode="External"/><Relationship Id="rId137" Type="http://schemas.openxmlformats.org/officeDocument/2006/relationships/hyperlink" Target="https://www.ncbi.nlm.nih.gov/pmc/articles/PMC4892398/" TargetMode="External"/><Relationship Id="rId158" Type="http://schemas.openxmlformats.org/officeDocument/2006/relationships/hyperlink" Target="https://www.ncbi.nlm.nih.gov/pmc/articles/PMC4892398/" TargetMode="External"/><Relationship Id="rId302" Type="http://schemas.openxmlformats.org/officeDocument/2006/relationships/hyperlink" Target="https://www.ncbi.nlm.nih.gov/pubmed/20653673" TargetMode="External"/><Relationship Id="rId323" Type="http://schemas.openxmlformats.org/officeDocument/2006/relationships/hyperlink" Target="https://www.ncbi.nlm.nih.gov/pmc/articles/PMC4483208/" TargetMode="External"/><Relationship Id="rId344" Type="http://schemas.openxmlformats.org/officeDocument/2006/relationships/hyperlink" Target="https://scholar.google.com/scholar_lookup?journal=Antimicrob+Agents+Chemother&amp;title=Vancomycin+enhancement+of+experimental+tobramycin+nephrotoxicity&amp;author=C.+Wood&amp;author=S.+Kohlhepp&amp;author=P.+Kohnen&amp;author=D.+Houghton&amp;author=D.+Gilbert&amp;volume=30&amp;publication_year=1986&amp;pages=20-24&amp;pmid=3752981&amp;" TargetMode="External"/><Relationship Id="rId20" Type="http://schemas.openxmlformats.org/officeDocument/2006/relationships/hyperlink" Target="https://www.ncbi.nlm.nih.gov/pmc/articles/PMC4892398/" TargetMode="External"/><Relationship Id="rId41" Type="http://schemas.openxmlformats.org/officeDocument/2006/relationships/hyperlink" Target="https://www.ncbi.nlm.nih.gov/pmc/articles/PMC4892398/" TargetMode="External"/><Relationship Id="rId62" Type="http://schemas.openxmlformats.org/officeDocument/2006/relationships/hyperlink" Target="https://www.ncbi.nlm.nih.gov/pmc/articles/PMC4892398/" TargetMode="External"/><Relationship Id="rId83" Type="http://schemas.openxmlformats.org/officeDocument/2006/relationships/hyperlink" Target="https://www.ncbi.nlm.nih.gov/pmc/articles/PMC4892398/" TargetMode="External"/><Relationship Id="rId179" Type="http://schemas.openxmlformats.org/officeDocument/2006/relationships/hyperlink" Target="https://www.ncbi.nlm.nih.gov/pmc/articles/PMC48923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21</Pages>
  <Words>16089</Words>
  <Characters>91712</Characters>
  <Application>Microsoft Office Word</Application>
  <DocSecurity>0</DocSecurity>
  <Lines>764</Lines>
  <Paragraphs>215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    Abstract</vt:lpstr>
      <vt:lpstr>    In recent times the use of larger doses of vancomycin aimed at curbing the incre</vt:lpstr>
      <vt:lpstr>        Definition of vancomycin-induced AKI</vt:lpstr>
      <vt:lpstr>    Predisposing factors for vancomycin-induced AKI</vt:lpstr>
      <vt:lpstr>        Vancomycin exposure: higher doses</vt:lpstr>
      <vt:lpstr>        Vancomycin exposure: longer duration</vt:lpstr>
      <vt:lpstr>        Vancomycin exposure: impaired glomerular filtration</vt:lpstr>
      <vt:lpstr>        Vancomycin exposure: synergism with nephrotoxic agents</vt:lpstr>
      <vt:lpstr>        Vancomycin exposure: high-risk populations</vt:lpstr>
      <vt:lpstr>        Vancomycin exposure: obesity</vt:lpstr>
      <vt:lpstr>        Vancomycin toxicity in chronic kidney disease</vt:lpstr>
      <vt:lpstr>    Vancomycin-induced nephrotoxicity: pediatric studies</vt:lpstr>
      <vt:lpstr>    Mechanisms of vancomycin-induced nephrotoxicity</vt:lpstr>
      <vt:lpstr>    Histological aspects of kidney injury</vt:lpstr>
      <vt:lpstr>    Prevention of vancomycin-induced AKI</vt:lpstr>
      <vt:lpstr>        Therapeutic drug monitoring</vt:lpstr>
      <vt:lpstr>        Drug modification</vt:lpstr>
      <vt:lpstr>        Dosing strategy</vt:lpstr>
      <vt:lpstr>    Therapeutic strategy for vancomycin-induced AKI</vt:lpstr>
      <vt:lpstr>        Antioxidative therapy</vt:lpstr>
      <vt:lpstr>    References</vt:lpstr>
    </vt:vector>
  </TitlesOfParts>
  <Company/>
  <LinksUpToDate>false</LinksUpToDate>
  <CharactersWithSpaces>107586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Folder</dc:creator>
  <cp:lastModifiedBy>New Folder</cp:lastModifiedBy>
  <cp:revision>1</cp:revision>
  <dcterms:created xsi:type="dcterms:W3CDTF">2021-05-16T01:19:00Z</dcterms:created>
  <dcterms:modified xsi:type="dcterms:W3CDTF">2021-05-16T01:39:00Z</dcterms:modified>
</cp:coreProperties>
</file>