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7789A" w14:textId="1CCDF0AE" w:rsidR="00AE3E37" w:rsidRDefault="0049137A" w:rsidP="00494130">
      <w:pPr>
        <w:pStyle w:val="Ttulo1"/>
        <w:spacing w:before="170"/>
        <w:ind w:left="0"/>
      </w:pPr>
      <w:proofErr w:type="spellStart"/>
      <w:r>
        <w:rPr>
          <w:color w:val="337AB7"/>
        </w:rPr>
        <w:t>Rol</w:t>
      </w:r>
      <w:proofErr w:type="spellEnd"/>
      <w:r>
        <w:rPr>
          <w:color w:val="337AB7"/>
        </w:rPr>
        <w:t xml:space="preserve"> of diet in </w:t>
      </w:r>
      <w:r w:rsidRPr="0049137A">
        <w:rPr>
          <w:color w:val="337AB7"/>
        </w:rPr>
        <w:t>nephrolithiasis</w:t>
      </w:r>
    </w:p>
    <w:p w14:paraId="0EDAA4CF" w14:textId="64ACC0C1" w:rsidR="005973B9" w:rsidRDefault="000A35CF" w:rsidP="000A35CF">
      <w:pPr>
        <w:pStyle w:val="Textoindependiente"/>
        <w:spacing w:before="73" w:line="198" w:lineRule="exact"/>
        <w:ind w:right="5987"/>
        <w:rPr>
          <w:rFonts w:ascii="Arial"/>
        </w:rPr>
      </w:pPr>
      <w:r>
        <w:rPr>
          <w:rFonts w:ascii="Arial"/>
        </w:rPr>
        <w:t>Cecilia L Arteaga</w:t>
      </w:r>
      <w:r w:rsidR="005973B9">
        <w:rPr>
          <w:rFonts w:ascii="Arial"/>
        </w:rPr>
        <w:t xml:space="preserve">, </w:t>
      </w:r>
      <w:r w:rsidR="0049137A">
        <w:rPr>
          <w:rFonts w:ascii="Arial"/>
        </w:rPr>
        <w:t>DN,</w:t>
      </w:r>
      <w:r w:rsidR="005973B9">
        <w:rPr>
          <w:rFonts w:ascii="Arial"/>
        </w:rPr>
        <w:t xml:space="preserve"> </w:t>
      </w:r>
      <w:r>
        <w:rPr>
          <w:rFonts w:ascii="Arial"/>
        </w:rPr>
        <w:t>MSc(c)</w:t>
      </w:r>
      <w:r w:rsidR="005973B9">
        <w:rPr>
          <w:rFonts w:ascii="Arial"/>
        </w:rPr>
        <w:t xml:space="preserve">, </w:t>
      </w:r>
      <w:r>
        <w:rPr>
          <w:rFonts w:ascii="Arial"/>
        </w:rPr>
        <w:t>Ecuador.</w:t>
      </w:r>
    </w:p>
    <w:p w14:paraId="74F14C39" w14:textId="77777777" w:rsidR="00AE3E37" w:rsidRDefault="00AE3E37">
      <w:pPr>
        <w:pStyle w:val="Textoindependiente"/>
        <w:rPr>
          <w:rFonts w:ascii="Arial"/>
          <w:sz w:val="20"/>
        </w:rPr>
      </w:pPr>
    </w:p>
    <w:p w14:paraId="68061B4B" w14:textId="77777777" w:rsidR="00AE3E37" w:rsidRDefault="00AE3E37">
      <w:pPr>
        <w:pStyle w:val="Textoindependiente"/>
        <w:spacing w:before="3"/>
        <w:rPr>
          <w:rFonts w:ascii="Arial"/>
          <w:sz w:val="21"/>
        </w:rPr>
      </w:pPr>
    </w:p>
    <w:p w14:paraId="4D51FE5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D9801C3" w14:textId="015A2DF7" w:rsidR="00AE3E37" w:rsidRDefault="00A9710C">
      <w:pPr>
        <w:pStyle w:val="Ttulo3"/>
        <w:spacing w:before="147"/>
        <w:jc w:val="both"/>
      </w:pPr>
      <w:r>
        <w:rPr>
          <w:color w:val="BF5A14"/>
        </w:rPr>
        <w:t>Abstract</w:t>
      </w:r>
    </w:p>
    <w:p w14:paraId="0CF9506B" w14:textId="77777777" w:rsidR="00CA3D82" w:rsidRDefault="00CA3D82" w:rsidP="00CA3D82">
      <w:pPr>
        <w:pStyle w:val="Textoindependiente"/>
        <w:spacing w:before="90" w:line="280" w:lineRule="auto"/>
        <w:ind w:left="100"/>
        <w:jc w:val="both"/>
      </w:pPr>
      <w:r>
        <w:t>Nephrolithiasis consists of the formation of mineral crystals due to their supersaturation in the urine, resulting in the formation of kidney stones in the upper urinary system. This pathology is a common health problem with a multifactorial etiology that arises from the interaction of metabolic, genetic and environmental factors (1).</w:t>
      </w:r>
    </w:p>
    <w:p w14:paraId="5C4735E2" w14:textId="33CDEB4E" w:rsidR="00F14BD5" w:rsidRDefault="00F14BD5" w:rsidP="00CA3D82">
      <w:pPr>
        <w:pStyle w:val="Textoindependiente"/>
        <w:spacing w:before="90" w:line="280" w:lineRule="auto"/>
        <w:ind w:left="100"/>
        <w:jc w:val="both"/>
      </w:pPr>
      <w:r>
        <w:t>D</w:t>
      </w:r>
      <w:r w:rsidR="00CA3D82">
        <w:t xml:space="preserve">iet is closely related to the prevention, formation and recurrence of kidney stones. </w:t>
      </w:r>
      <w:r w:rsidRPr="00F14BD5">
        <w:t>The mechanisms involved in the prevention of kidney stones through dietary components include diuretic activity, antioxidant and inhibitory effect on crystallization and crystal aggregation</w:t>
      </w:r>
      <w:r>
        <w:t xml:space="preserve"> (2)</w:t>
      </w:r>
      <w:r w:rsidRPr="00F14BD5">
        <w:t>.</w:t>
      </w:r>
    </w:p>
    <w:p w14:paraId="538EC24E" w14:textId="7CD6ECCB" w:rsidR="00CA3D82" w:rsidRDefault="00CA3D82" w:rsidP="00CA3D82">
      <w:pPr>
        <w:pStyle w:val="Textoindependiente"/>
        <w:spacing w:before="90" w:line="280" w:lineRule="auto"/>
        <w:ind w:left="100"/>
        <w:jc w:val="both"/>
      </w:pPr>
      <w:r>
        <w:t>In this sense, fluid intake stands out as the main determinant of urine volume and plays a critical role in the formation of kidney stones.</w:t>
      </w:r>
    </w:p>
    <w:p w14:paraId="26C11556" w14:textId="76D4BE63" w:rsidR="00CA3D82" w:rsidRDefault="00CA3D82" w:rsidP="00CA3D82">
      <w:pPr>
        <w:pStyle w:val="Textoindependiente"/>
        <w:spacing w:before="90" w:line="280" w:lineRule="auto"/>
        <w:ind w:left="100"/>
        <w:jc w:val="both"/>
      </w:pPr>
      <w:r>
        <w:t>Regarding the composition of kidney stones, the majority consist mainly of calcium oxalate, however, high dietary calcium intake has been associated with a lower incidence of kidney stones compared with a deficient intake of it. On the other hand, a higher sodium intake generates a proximal sodium reabsorption and subsequently a reduction in calcium reabsorption (</w:t>
      </w:r>
      <w:r w:rsidR="00F14BD5">
        <w:t>3</w:t>
      </w:r>
      <w:r>
        <w:t>).</w:t>
      </w:r>
    </w:p>
    <w:p w14:paraId="585C4667" w14:textId="33CD802E" w:rsidR="00CA3D82" w:rsidRDefault="00CA3D82" w:rsidP="00CA3D82">
      <w:pPr>
        <w:pStyle w:val="Textoindependiente"/>
        <w:spacing w:before="90" w:line="280" w:lineRule="auto"/>
        <w:ind w:left="100"/>
        <w:jc w:val="both"/>
      </w:pPr>
      <w:r>
        <w:t>Sucrose and fructose consumption increases the risk of kidney stones in men and women by increasing urinary calcium excretion. A higher intake of animal protein can increase urinary calcium and decrease urinary citrate which increases the risk of stone formation in men. A caloric surplus in the diet and obesity have been identified to increase the risk of nephrolithiasis (</w:t>
      </w:r>
      <w:r w:rsidR="00F14BD5">
        <w:t>4</w:t>
      </w:r>
      <w:r>
        <w:t>).</w:t>
      </w:r>
    </w:p>
    <w:p w14:paraId="0D9A7FDE" w14:textId="448DC50E" w:rsidR="00E1609D" w:rsidRDefault="00CA3D82" w:rsidP="00CA3D82">
      <w:pPr>
        <w:pStyle w:val="Textoindependiente"/>
        <w:spacing w:before="90" w:line="280" w:lineRule="auto"/>
        <w:ind w:left="100"/>
        <w:jc w:val="both"/>
      </w:pPr>
      <w:r>
        <w:t>Among the protective factors, the consumption of fruits, vegetables, and legumes, balanced vegetarian and vegan diets are protective factors and reduce the risk of nephrolithiasis in older men and women (</w:t>
      </w:r>
      <w:r w:rsidR="00F14BD5">
        <w:t>5</w:t>
      </w:r>
      <w:r>
        <w:t>). The DASH diet can reduce the incidence of kidney stone formation by 40-45% (</w:t>
      </w:r>
      <w:r w:rsidR="00F14BD5">
        <w:t>6</w:t>
      </w:r>
      <w:r>
        <w:t>).</w:t>
      </w:r>
      <w:r>
        <w:t xml:space="preserve"> </w:t>
      </w:r>
    </w:p>
    <w:p w14:paraId="4310D8FD" w14:textId="583BC4C7" w:rsidR="00CA3D82" w:rsidRDefault="00CA3D82" w:rsidP="00CA3D82">
      <w:pPr>
        <w:pStyle w:val="Textoindependiente"/>
        <w:spacing w:before="90" w:line="280" w:lineRule="auto"/>
        <w:ind w:left="100"/>
        <w:jc w:val="both"/>
      </w:pPr>
      <w:r w:rsidRPr="00CA3D82">
        <w:t>Finally, the Mediterranean diet has been associated with a lower incidence of renal lithiasis, due to the abundant contribution of protective dietary components</w:t>
      </w:r>
      <w:r w:rsidR="00C33C2F">
        <w:t xml:space="preserve"> </w:t>
      </w:r>
      <w:r w:rsidR="00F14BD5">
        <w:t>(7).</w:t>
      </w:r>
    </w:p>
    <w:p w14:paraId="07F8D951" w14:textId="70B5B5CA" w:rsidR="00F14BD5" w:rsidRDefault="00F14BD5" w:rsidP="00CA3D82">
      <w:pPr>
        <w:pStyle w:val="Textoindependiente"/>
        <w:spacing w:before="90" w:line="280" w:lineRule="auto"/>
        <w:ind w:left="100"/>
        <w:jc w:val="both"/>
      </w:pPr>
    </w:p>
    <w:p w14:paraId="060BFD86" w14:textId="77777777" w:rsidR="00F14BD5" w:rsidRDefault="00F14BD5" w:rsidP="00CA3D82">
      <w:pPr>
        <w:pStyle w:val="Textoindependiente"/>
        <w:spacing w:before="90" w:line="280" w:lineRule="auto"/>
        <w:ind w:left="100"/>
        <w:jc w:val="both"/>
      </w:pPr>
    </w:p>
    <w:p w14:paraId="3186CD0F" w14:textId="153B3E80" w:rsidR="005973B9" w:rsidRDefault="00A9710C" w:rsidP="00CA3D82">
      <w:pPr>
        <w:pStyle w:val="Ttulo3"/>
        <w:spacing w:before="74"/>
        <w:ind w:left="0" w:firstLine="426"/>
        <w:rPr>
          <w:color w:val="BF5A14"/>
        </w:rPr>
      </w:pPr>
      <w:r>
        <w:rPr>
          <w:b w:val="0"/>
        </w:rPr>
        <w:br w:type="column"/>
      </w:r>
      <w:r w:rsidR="005973B9">
        <w:rPr>
          <w:color w:val="BF5A14"/>
        </w:rPr>
        <w:t>Recent Publications (minimum 5)</w:t>
      </w:r>
    </w:p>
    <w:p w14:paraId="1CD979E3" w14:textId="77777777" w:rsidR="00CA3D82" w:rsidRPr="00CA3D82" w:rsidRDefault="00CA3D82" w:rsidP="00CA3D82">
      <w:pPr>
        <w:pStyle w:val="Ttulo3"/>
        <w:spacing w:before="74"/>
        <w:ind w:left="0" w:firstLine="426"/>
      </w:pPr>
    </w:p>
    <w:p w14:paraId="5F52F5B3" w14:textId="7DC8D53E" w:rsidR="00CA3D82" w:rsidRDefault="00CA3D82" w:rsidP="00CA3D82">
      <w:pPr>
        <w:autoSpaceDE w:val="0"/>
        <w:autoSpaceDN w:val="0"/>
        <w:adjustRightInd w:val="0"/>
        <w:spacing w:after="160"/>
        <w:ind w:left="640" w:hanging="214"/>
        <w:rPr>
          <w:rFonts w:eastAsia="Calibri" w:cs="Calibri"/>
          <w:noProof/>
          <w:sz w:val="18"/>
          <w:szCs w:val="20"/>
          <w:lang w:val="es-EC"/>
        </w:rPr>
      </w:pPr>
      <w:r w:rsidRPr="00CA3D82">
        <w:rPr>
          <w:rFonts w:ascii="Calibri" w:eastAsia="Calibri" w:hAnsi="Calibri" w:cs="Times New Roman"/>
          <w:sz w:val="18"/>
          <w:szCs w:val="18"/>
          <w:lang w:val="es-EC"/>
        </w:rPr>
        <w:fldChar w:fldCharType="begin" w:fldLock="1"/>
      </w:r>
      <w:r w:rsidRPr="00CA3D82">
        <w:rPr>
          <w:rFonts w:ascii="Calibri" w:eastAsia="Calibri" w:hAnsi="Calibri" w:cs="Times New Roman"/>
          <w:sz w:val="18"/>
          <w:szCs w:val="18"/>
          <w:lang w:val="es-EC"/>
        </w:rPr>
        <w:instrText xml:space="preserve">ADDIN Mendeley Bibliography CSL_BIBLIOGRAPHY </w:instrText>
      </w:r>
      <w:r w:rsidRPr="00CA3D82">
        <w:rPr>
          <w:rFonts w:ascii="Calibri" w:eastAsia="Calibri" w:hAnsi="Calibri" w:cs="Times New Roman"/>
          <w:sz w:val="18"/>
          <w:szCs w:val="18"/>
          <w:lang w:val="es-EC"/>
        </w:rPr>
        <w:fldChar w:fldCharType="separate"/>
      </w:r>
      <w:r w:rsidRPr="00CA3D82">
        <w:rPr>
          <w:rFonts w:eastAsia="Calibri" w:cs="Calibri"/>
          <w:noProof/>
          <w:sz w:val="18"/>
          <w:szCs w:val="20"/>
          <w:lang w:val="es-EC"/>
        </w:rPr>
        <w:t xml:space="preserve">1. </w:t>
      </w:r>
      <w:r w:rsidRPr="00CA3D82">
        <w:rPr>
          <w:rFonts w:eastAsia="Calibri" w:cs="Calibri"/>
          <w:noProof/>
          <w:sz w:val="18"/>
          <w:szCs w:val="20"/>
          <w:lang w:val="es-EC"/>
        </w:rPr>
        <w:tab/>
        <w:t xml:space="preserve">Khan SR, Pearle MS, Robertson WG, Gambaro G, Canales BK, Doizi S, et al. Kidney stones. Nat Rev Dis Prim. 2016;2:16008. </w:t>
      </w:r>
    </w:p>
    <w:p w14:paraId="1CA9976C" w14:textId="4BDDE7F0" w:rsidR="00F14BD5" w:rsidRPr="00CA3D82" w:rsidRDefault="00F14BD5" w:rsidP="00CA3D82">
      <w:pPr>
        <w:autoSpaceDE w:val="0"/>
        <w:autoSpaceDN w:val="0"/>
        <w:adjustRightInd w:val="0"/>
        <w:spacing w:after="160"/>
        <w:ind w:left="640" w:hanging="214"/>
        <w:rPr>
          <w:rFonts w:eastAsia="Calibri" w:cs="Calibri"/>
          <w:noProof/>
          <w:sz w:val="18"/>
          <w:szCs w:val="20"/>
          <w:lang w:val="es-EC"/>
        </w:rPr>
      </w:pPr>
      <w:r>
        <w:rPr>
          <w:rFonts w:eastAsia="Calibri" w:cs="Calibri"/>
          <w:noProof/>
          <w:sz w:val="18"/>
          <w:szCs w:val="20"/>
          <w:lang w:val="es-EC"/>
        </w:rPr>
        <w:t xml:space="preserve">2. </w:t>
      </w:r>
      <w:r w:rsidRPr="00F14BD5">
        <w:rPr>
          <w:rFonts w:eastAsia="Calibri" w:cs="Calibri"/>
          <w:noProof/>
          <w:sz w:val="18"/>
          <w:szCs w:val="20"/>
          <w:lang w:val="es-EC"/>
        </w:rPr>
        <w:t>Nirumand MC, Hajialyani M, Rahimi R, Farzaei MH, Zingue S, Nabavi SM, et al. Dietary plants for the prevention and management of kidney stones: Preclinical and clinical evidence and molecular mechanisms. Int J Mol Sci. 2018;19(3):765.</w:t>
      </w:r>
    </w:p>
    <w:p w14:paraId="0CA8B583" w14:textId="4421CFF9" w:rsidR="00CA3D82" w:rsidRPr="00CA3D82" w:rsidRDefault="00F14BD5" w:rsidP="00CA3D82">
      <w:pPr>
        <w:autoSpaceDE w:val="0"/>
        <w:autoSpaceDN w:val="0"/>
        <w:adjustRightInd w:val="0"/>
        <w:spacing w:after="160"/>
        <w:ind w:left="640" w:hanging="214"/>
        <w:rPr>
          <w:rFonts w:eastAsia="Calibri" w:cs="Calibri"/>
          <w:noProof/>
          <w:sz w:val="18"/>
          <w:szCs w:val="20"/>
          <w:lang w:val="es-EC"/>
        </w:rPr>
      </w:pPr>
      <w:r>
        <w:rPr>
          <w:rFonts w:eastAsia="Calibri" w:cs="Calibri"/>
          <w:noProof/>
          <w:sz w:val="18"/>
          <w:szCs w:val="20"/>
          <w:lang w:val="es-EC"/>
        </w:rPr>
        <w:t>3</w:t>
      </w:r>
      <w:r w:rsidR="00CA3D82" w:rsidRPr="00CA3D82">
        <w:rPr>
          <w:rFonts w:eastAsia="Calibri" w:cs="Calibri"/>
          <w:noProof/>
          <w:sz w:val="18"/>
          <w:szCs w:val="20"/>
          <w:lang w:val="es-EC"/>
        </w:rPr>
        <w:t xml:space="preserve">. </w:t>
      </w:r>
      <w:r w:rsidR="00CA3D82" w:rsidRPr="00CA3D82">
        <w:rPr>
          <w:rFonts w:eastAsia="Calibri" w:cs="Calibri"/>
          <w:noProof/>
          <w:sz w:val="18"/>
          <w:szCs w:val="20"/>
          <w:lang w:val="es-EC"/>
        </w:rPr>
        <w:tab/>
        <w:t xml:space="preserve">Ticinesi A, Nouvenne A, Maalouf NM, Borghi L, Meschi T. Salt and nephrolithiasis. Nephrol Dial Transplant. 2016;31(1):39–45. </w:t>
      </w:r>
    </w:p>
    <w:p w14:paraId="3F482221" w14:textId="517F1A37" w:rsidR="00CA3D82" w:rsidRPr="00CA3D82" w:rsidRDefault="00F14BD5" w:rsidP="00CA3D82">
      <w:pPr>
        <w:autoSpaceDE w:val="0"/>
        <w:autoSpaceDN w:val="0"/>
        <w:adjustRightInd w:val="0"/>
        <w:spacing w:after="160"/>
        <w:ind w:left="640" w:hanging="214"/>
        <w:rPr>
          <w:rFonts w:eastAsia="Calibri" w:cs="Calibri"/>
          <w:noProof/>
          <w:sz w:val="18"/>
          <w:szCs w:val="20"/>
          <w:lang w:val="es-EC"/>
        </w:rPr>
      </w:pPr>
      <w:r>
        <w:rPr>
          <w:rFonts w:eastAsia="Calibri" w:cs="Calibri"/>
          <w:noProof/>
          <w:sz w:val="18"/>
          <w:szCs w:val="20"/>
          <w:lang w:val="es-EC"/>
        </w:rPr>
        <w:t>4</w:t>
      </w:r>
      <w:r w:rsidR="00CA3D82" w:rsidRPr="00CA3D82">
        <w:rPr>
          <w:rFonts w:eastAsia="Calibri" w:cs="Calibri"/>
          <w:noProof/>
          <w:sz w:val="18"/>
          <w:szCs w:val="20"/>
          <w:lang w:val="es-EC"/>
        </w:rPr>
        <w:t xml:space="preserve">. </w:t>
      </w:r>
      <w:r w:rsidR="00CA3D82" w:rsidRPr="00CA3D82">
        <w:rPr>
          <w:rFonts w:eastAsia="Calibri" w:cs="Calibri"/>
          <w:noProof/>
          <w:sz w:val="18"/>
          <w:szCs w:val="20"/>
          <w:lang w:val="es-EC"/>
        </w:rPr>
        <w:tab/>
        <w:t xml:space="preserve">Perletti G, Magri V, Ferraro PM, Montanari E, Trinchieri A. Influence of dietary energy intake on nephrolithiasis - A meta-analysis of observational studies. Arch Ital di Urol e Androl. 2020;92(1):30–3. </w:t>
      </w:r>
    </w:p>
    <w:p w14:paraId="4D522707" w14:textId="4D56C249" w:rsidR="00CA3D82" w:rsidRPr="00CA3D82" w:rsidRDefault="00F14BD5" w:rsidP="00CA3D82">
      <w:pPr>
        <w:autoSpaceDE w:val="0"/>
        <w:autoSpaceDN w:val="0"/>
        <w:adjustRightInd w:val="0"/>
        <w:spacing w:after="160"/>
        <w:ind w:left="640" w:hanging="214"/>
        <w:rPr>
          <w:rFonts w:eastAsia="Calibri" w:cs="Calibri"/>
          <w:noProof/>
          <w:sz w:val="18"/>
          <w:szCs w:val="20"/>
          <w:lang w:val="es-EC"/>
        </w:rPr>
      </w:pPr>
      <w:r>
        <w:rPr>
          <w:rFonts w:eastAsia="Calibri" w:cs="Calibri"/>
          <w:noProof/>
          <w:sz w:val="18"/>
          <w:szCs w:val="20"/>
          <w:lang w:val="es-EC"/>
        </w:rPr>
        <w:t>5</w:t>
      </w:r>
      <w:r w:rsidR="00CA3D82" w:rsidRPr="00CA3D82">
        <w:rPr>
          <w:rFonts w:eastAsia="Calibri" w:cs="Calibri"/>
          <w:noProof/>
          <w:sz w:val="18"/>
          <w:szCs w:val="20"/>
          <w:lang w:val="es-EC"/>
        </w:rPr>
        <w:t xml:space="preserve">. </w:t>
      </w:r>
      <w:r w:rsidR="00CA3D82" w:rsidRPr="00CA3D82">
        <w:rPr>
          <w:rFonts w:eastAsia="Calibri" w:cs="Calibri"/>
          <w:noProof/>
          <w:sz w:val="18"/>
          <w:szCs w:val="20"/>
          <w:lang w:val="es-EC"/>
        </w:rPr>
        <w:tab/>
        <w:t xml:space="preserve">Ferraro PM, Bargagli M, Trinchieri A, Gambaro G. Risk of kidney stones: Influence of dietary factors, dietary patterns, and vegetarian–vegan diets. Nutrients. 2020;12(3):779. </w:t>
      </w:r>
    </w:p>
    <w:p w14:paraId="63B0059E" w14:textId="01B9B094" w:rsidR="00CA3D82" w:rsidRDefault="00F14BD5" w:rsidP="00CA3D82">
      <w:pPr>
        <w:autoSpaceDE w:val="0"/>
        <w:autoSpaceDN w:val="0"/>
        <w:adjustRightInd w:val="0"/>
        <w:spacing w:after="160"/>
        <w:ind w:left="640" w:hanging="214"/>
        <w:rPr>
          <w:rFonts w:eastAsia="Calibri" w:cs="Calibri"/>
          <w:noProof/>
          <w:sz w:val="18"/>
          <w:szCs w:val="20"/>
          <w:lang w:val="es-EC"/>
        </w:rPr>
      </w:pPr>
      <w:r>
        <w:rPr>
          <w:rFonts w:eastAsia="Calibri" w:cs="Calibri"/>
          <w:noProof/>
          <w:sz w:val="18"/>
          <w:szCs w:val="20"/>
          <w:lang w:val="es-EC"/>
        </w:rPr>
        <w:t>6</w:t>
      </w:r>
      <w:r w:rsidR="00CA3D82" w:rsidRPr="00CA3D82">
        <w:rPr>
          <w:rFonts w:eastAsia="Calibri" w:cs="Calibri"/>
          <w:noProof/>
          <w:sz w:val="18"/>
          <w:szCs w:val="20"/>
          <w:lang w:val="es-EC"/>
        </w:rPr>
        <w:t xml:space="preserve">. </w:t>
      </w:r>
      <w:r w:rsidR="00CA3D82" w:rsidRPr="00CA3D82">
        <w:rPr>
          <w:rFonts w:eastAsia="Calibri" w:cs="Calibri"/>
          <w:noProof/>
          <w:sz w:val="18"/>
          <w:szCs w:val="20"/>
          <w:lang w:val="es-EC"/>
        </w:rPr>
        <w:tab/>
        <w:t xml:space="preserve">Maddahi N, Aghamir SMK, Moddaresi SS, Mirzaei K, Alizadeh S, Yekaninejad MS. The association of Dietary Approaches to Stop Hypertension-style diet with urinary risk factors of kidney stones formation in men with nephrolithiasis. Clin Nutr ESPEN. 2020;39:173–9. </w:t>
      </w:r>
    </w:p>
    <w:p w14:paraId="16826467" w14:textId="63CC6140" w:rsidR="00C33C2F" w:rsidRPr="00C33C2F" w:rsidRDefault="00F14BD5" w:rsidP="00C33C2F">
      <w:pPr>
        <w:ind w:left="709" w:hanging="283"/>
        <w:rPr>
          <w:rFonts w:eastAsia="Calibri" w:cs="Calibri"/>
          <w:noProof/>
          <w:sz w:val="18"/>
          <w:szCs w:val="20"/>
          <w:lang w:val="es-EC"/>
        </w:rPr>
      </w:pPr>
      <w:r>
        <w:rPr>
          <w:rFonts w:eastAsia="Calibri" w:cs="Calibri"/>
          <w:noProof/>
          <w:sz w:val="18"/>
          <w:szCs w:val="20"/>
          <w:lang w:val="es-EC"/>
        </w:rPr>
        <w:t>7</w:t>
      </w:r>
      <w:r w:rsidR="00C33C2F">
        <w:rPr>
          <w:rFonts w:eastAsia="Calibri" w:cs="Calibri"/>
          <w:noProof/>
          <w:sz w:val="18"/>
          <w:szCs w:val="20"/>
          <w:lang w:val="es-EC"/>
        </w:rPr>
        <w:t xml:space="preserve">. </w:t>
      </w:r>
      <w:r w:rsidR="00C33C2F" w:rsidRPr="00C33C2F">
        <w:rPr>
          <w:rFonts w:eastAsia="Calibri" w:cs="Calibri"/>
          <w:noProof/>
          <w:sz w:val="18"/>
          <w:szCs w:val="20"/>
          <w:lang w:val="es-EC"/>
        </w:rPr>
        <w:t xml:space="preserve">Rodriguez A, Curhan GC, Gambaro G, Taylor EN, Ferraro PM. Mediterranean diet adherence and risk of incident kidney stones. Am J Clin Nutr. 2020;00:1–7. </w:t>
      </w:r>
    </w:p>
    <w:p w14:paraId="6D8DC180" w14:textId="23528F3F" w:rsidR="00C33C2F" w:rsidRPr="00CA3D82" w:rsidRDefault="00C33C2F" w:rsidP="00C33C2F">
      <w:pPr>
        <w:autoSpaceDE w:val="0"/>
        <w:autoSpaceDN w:val="0"/>
        <w:adjustRightInd w:val="0"/>
        <w:spacing w:after="160"/>
        <w:ind w:left="709" w:hanging="283"/>
        <w:rPr>
          <w:rFonts w:eastAsia="Calibri" w:cs="Calibri"/>
          <w:noProof/>
          <w:sz w:val="18"/>
          <w:szCs w:val="18"/>
          <w:lang w:val="es-EC"/>
        </w:rPr>
      </w:pPr>
    </w:p>
    <w:p w14:paraId="4961EA63" w14:textId="72D46293" w:rsidR="00AE3E37" w:rsidRPr="008756E6" w:rsidRDefault="00CA3D82" w:rsidP="00CA3D82">
      <w:pPr>
        <w:tabs>
          <w:tab w:val="left" w:pos="384"/>
        </w:tabs>
        <w:ind w:right="117" w:hanging="214"/>
      </w:pPr>
      <w:r w:rsidRPr="00CA3D82">
        <w:rPr>
          <w:rFonts w:ascii="Calibri" w:eastAsia="Calibri" w:hAnsi="Calibri" w:cs="Times New Roman"/>
          <w:sz w:val="18"/>
          <w:szCs w:val="18"/>
          <w:lang w:val="es-EC"/>
        </w:rPr>
        <w:fldChar w:fldCharType="end"/>
      </w:r>
    </w:p>
    <w:p w14:paraId="4C69B39A" w14:textId="1892BD82"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2622AFD" w14:textId="3C0D01F4" w:rsidR="00AE3E37" w:rsidRDefault="00AE3E37" w:rsidP="005A5B1E">
      <w:pPr>
        <w:pStyle w:val="Textoindependiente"/>
        <w:spacing w:line="40" w:lineRule="exact"/>
        <w:rPr>
          <w:rFonts w:ascii="Calibri"/>
          <w:sz w:val="4"/>
        </w:rPr>
      </w:pPr>
    </w:p>
    <w:p w14:paraId="341AA8C9" w14:textId="053655B3" w:rsidR="004619D3" w:rsidRDefault="008756E6" w:rsidP="00404E5B">
      <w:pPr>
        <w:spacing w:before="92"/>
        <w:ind w:right="4234"/>
        <w:rPr>
          <w:noProof/>
        </w:rPr>
      </w:pPr>
      <w:r>
        <w:rPr>
          <w:noProof/>
        </w:rPr>
        <w:t xml:space="preserve">              </w:t>
      </w:r>
    </w:p>
    <w:p w14:paraId="6B18297D" w14:textId="785C8EE5" w:rsidR="00AE3E37" w:rsidRDefault="00B74639" w:rsidP="00F14BD5">
      <w:pPr>
        <w:spacing w:before="92"/>
        <w:ind w:left="1440" w:right="4234" w:firstLine="720"/>
        <w:rPr>
          <w:rFonts w:ascii="Arial"/>
        </w:rPr>
      </w:pPr>
      <w:r>
        <w:rPr>
          <w:noProof/>
        </w:rPr>
        <w:drawing>
          <wp:anchor distT="0" distB="0" distL="114300" distR="114300" simplePos="0" relativeHeight="251671552" behindDoc="0" locked="0" layoutInCell="1" allowOverlap="1" wp14:anchorId="1A7F52FE" wp14:editId="549AF87D">
            <wp:simplePos x="0" y="0"/>
            <wp:positionH relativeFrom="column">
              <wp:posOffset>591503</wp:posOffset>
            </wp:positionH>
            <wp:positionV relativeFrom="paragraph">
              <wp:posOffset>176157</wp:posOffset>
            </wp:positionV>
            <wp:extent cx="782837" cy="652483"/>
            <wp:effectExtent l="7937" t="0" r="6668" b="6667"/>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709" t="38683" r="41774" b="6282"/>
                    <a:stretch/>
                  </pic:blipFill>
                  <pic:spPr bwMode="auto">
                    <a:xfrm rot="5400000">
                      <a:off x="0" y="0"/>
                      <a:ext cx="782837" cy="652483"/>
                    </a:xfrm>
                    <a:prstGeom prst="round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p>
    <w:p w14:paraId="6F5D038D" w14:textId="1509A9F7" w:rsidR="005A5B1E" w:rsidRDefault="005A5B1E" w:rsidP="00F14BD5">
      <w:pPr>
        <w:spacing w:before="62"/>
        <w:ind w:left="2160" w:right="2185"/>
        <w:rPr>
          <w:rFonts w:ascii="Arial"/>
          <w:sz w:val="14"/>
        </w:rPr>
      </w:pPr>
      <w:r w:rsidRPr="005A5B1E">
        <w:rPr>
          <w:rFonts w:ascii="Arial"/>
          <w:sz w:val="14"/>
        </w:rPr>
        <w:t xml:space="preserve">Cecilia L Arteaga is an Ecuadorian </w:t>
      </w:r>
      <w:r w:rsidR="00BC66EE">
        <w:rPr>
          <w:rFonts w:ascii="Arial"/>
          <w:sz w:val="14"/>
        </w:rPr>
        <w:t>D</w:t>
      </w:r>
      <w:r w:rsidRPr="005A5B1E">
        <w:rPr>
          <w:rFonts w:ascii="Arial"/>
          <w:sz w:val="14"/>
        </w:rPr>
        <w:t>ieti</w:t>
      </w:r>
      <w:r w:rsidR="00802F7D">
        <w:rPr>
          <w:rFonts w:ascii="Arial"/>
          <w:sz w:val="14"/>
        </w:rPr>
        <w:t>tian</w:t>
      </w:r>
      <w:r w:rsidR="00BC66EE">
        <w:rPr>
          <w:rFonts w:ascii="Arial"/>
          <w:sz w:val="14"/>
        </w:rPr>
        <w:t>-</w:t>
      </w:r>
      <w:proofErr w:type="spellStart"/>
      <w:r w:rsidR="00BC66EE">
        <w:rPr>
          <w:rFonts w:ascii="Arial"/>
          <w:sz w:val="14"/>
        </w:rPr>
        <w:t>Nutritionista</w:t>
      </w:r>
      <w:proofErr w:type="spellEnd"/>
      <w:r w:rsidRPr="005A5B1E">
        <w:rPr>
          <w:rFonts w:ascii="Arial"/>
          <w:sz w:val="14"/>
        </w:rPr>
        <w:t xml:space="preserve"> candidate for a master's degree in nutrition and metabolism from the </w:t>
      </w:r>
      <w:proofErr w:type="spellStart"/>
      <w:r w:rsidRPr="005A5B1E">
        <w:rPr>
          <w:rFonts w:ascii="Arial"/>
          <w:sz w:val="14"/>
        </w:rPr>
        <w:t>Rovira</w:t>
      </w:r>
      <w:proofErr w:type="spellEnd"/>
      <w:r w:rsidRPr="005A5B1E">
        <w:rPr>
          <w:rFonts w:ascii="Arial"/>
          <w:sz w:val="14"/>
        </w:rPr>
        <w:t xml:space="preserve"> </w:t>
      </w:r>
      <w:proofErr w:type="spellStart"/>
      <w:r w:rsidRPr="005A5B1E">
        <w:rPr>
          <w:rFonts w:ascii="Arial"/>
          <w:sz w:val="14"/>
        </w:rPr>
        <w:t>i</w:t>
      </w:r>
      <w:proofErr w:type="spellEnd"/>
      <w:r w:rsidRPr="005A5B1E">
        <w:rPr>
          <w:rFonts w:ascii="Arial"/>
          <w:sz w:val="14"/>
        </w:rPr>
        <w:t xml:space="preserve"> </w:t>
      </w:r>
      <w:proofErr w:type="spellStart"/>
      <w:r w:rsidRPr="005A5B1E">
        <w:rPr>
          <w:rFonts w:ascii="Arial"/>
          <w:sz w:val="14"/>
        </w:rPr>
        <w:t>Virgili</w:t>
      </w:r>
      <w:proofErr w:type="spellEnd"/>
      <w:r w:rsidRPr="005A5B1E">
        <w:rPr>
          <w:rFonts w:ascii="Arial"/>
          <w:sz w:val="14"/>
        </w:rPr>
        <w:t xml:space="preserve"> University. She has developed her professional expertise in renal nutrition, especially hemodialysis. In this area of health, she highlights the importance of promoting food and nutrition education and healthy lifestyles as basic strategies for the prevention of kidney diseases. In renal lithiasis, she recommends that modifications, and not restrictions, in the diet should be applied in all patients as part of the medical-nutritional treatment.</w:t>
      </w:r>
    </w:p>
    <w:p w14:paraId="2ECA299F" w14:textId="77777777" w:rsidR="00F14BD5" w:rsidRDefault="00F14BD5" w:rsidP="00F14BD5">
      <w:pPr>
        <w:spacing w:before="62"/>
        <w:ind w:left="2160" w:right="2185"/>
        <w:rPr>
          <w:rFonts w:ascii="Arial"/>
          <w:sz w:val="14"/>
        </w:rPr>
      </w:pPr>
    </w:p>
    <w:p w14:paraId="2B631E8C" w14:textId="415A30C0" w:rsidR="00AE3E37" w:rsidRDefault="00A9710C" w:rsidP="00F14BD5">
      <w:pPr>
        <w:spacing w:before="62"/>
        <w:ind w:left="4217" w:right="4235"/>
        <w:rPr>
          <w:rFonts w:ascii="Arial"/>
          <w:sz w:val="14"/>
        </w:rPr>
      </w:pPr>
      <w:r>
        <w:rPr>
          <w:rFonts w:ascii="Arial"/>
          <w:sz w:val="14"/>
        </w:rPr>
        <w:t>Emai</w:t>
      </w:r>
      <w:r w:rsidR="005A5B1E">
        <w:rPr>
          <w:rFonts w:ascii="Arial"/>
          <w:sz w:val="14"/>
        </w:rPr>
        <w:t>l: ceciliaarteagap</w:t>
      </w:r>
      <w:r w:rsidR="005A5B1E">
        <w:rPr>
          <w:sz w:val="14"/>
        </w:rPr>
        <w:t>@</w:t>
      </w:r>
      <w:r w:rsidR="005A5B1E">
        <w:rPr>
          <w:rFonts w:ascii="Arial"/>
          <w:sz w:val="14"/>
        </w:rPr>
        <w:t>gmail.com</w:t>
      </w:r>
    </w:p>
    <w:p w14:paraId="1497A8F2"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CD38C2A" wp14:editId="1AB4F6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B74D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938F55A" w14:textId="77777777" w:rsidR="00AE3E37" w:rsidRDefault="00AE3E37">
      <w:pPr>
        <w:pStyle w:val="Textoindependiente"/>
        <w:rPr>
          <w:rFonts w:ascii="Arial"/>
          <w:sz w:val="20"/>
        </w:rPr>
      </w:pPr>
    </w:p>
    <w:p w14:paraId="39294255" w14:textId="77777777" w:rsidR="00AE3E37" w:rsidRDefault="00AE3E37">
      <w:pPr>
        <w:pStyle w:val="Textoindependiente"/>
        <w:rPr>
          <w:rFonts w:ascii="Arial"/>
          <w:sz w:val="20"/>
        </w:rPr>
      </w:pPr>
    </w:p>
    <w:p w14:paraId="7EE27909" w14:textId="77777777" w:rsidR="00AE3E37" w:rsidRDefault="00AE3E37">
      <w:pPr>
        <w:pStyle w:val="Textoindependiente"/>
        <w:spacing w:before="7"/>
        <w:rPr>
          <w:rFonts w:ascii="Arial"/>
          <w:sz w:val="29"/>
        </w:rPr>
      </w:pPr>
    </w:p>
    <w:p w14:paraId="2CED500B" w14:textId="6D5D2009" w:rsidR="00AE3E37" w:rsidRPr="00C33C2F" w:rsidRDefault="00AE3E37" w:rsidP="00C33C2F">
      <w:pPr>
        <w:spacing w:before="39"/>
        <w:rPr>
          <w:rFonts w:ascii="Minion Pro"/>
          <w:b/>
          <w:sz w:val="20"/>
        </w:rPr>
        <w:sectPr w:rsidR="00AE3E37" w:rsidRPr="00C33C2F">
          <w:type w:val="continuous"/>
          <w:pgSz w:w="11910" w:h="16840"/>
          <w:pgMar w:top="1740" w:right="600" w:bottom="840" w:left="620" w:header="720" w:footer="720" w:gutter="0"/>
          <w:cols w:space="720"/>
        </w:sectPr>
      </w:pPr>
    </w:p>
    <w:p w14:paraId="27248EDD" w14:textId="479D4B3F"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967FD3" w14:textId="77777777" w:rsidR="00CB25FA" w:rsidRDefault="00CB25FA">
      <w:r>
        <w:separator/>
      </w:r>
    </w:p>
  </w:endnote>
  <w:endnote w:type="continuationSeparator" w:id="0">
    <w:p w14:paraId="730CA20E" w14:textId="77777777" w:rsidR="00CB25FA" w:rsidRDefault="00CB25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2B0F6" w14:textId="449E7816"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61824" behindDoc="1" locked="0" layoutInCell="1" allowOverlap="1" wp14:anchorId="018AF0B9" wp14:editId="0E71C9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3729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606E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AF0B9"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1453729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606E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4896" behindDoc="1" locked="0" layoutInCell="1" allowOverlap="1" wp14:anchorId="53414A71" wp14:editId="0AD1C3E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7450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1F79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14A71" id="Text Box 1" o:spid="_x0000_s1028" type="#_x0000_t202" style="position:absolute;margin-left:468.9pt;margin-top:798.8pt;width:91.4pt;height:26.0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3AF7450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B1F790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F5BEF0" w14:textId="77777777" w:rsidR="00CB25FA" w:rsidRDefault="00CB25FA">
      <w:r>
        <w:separator/>
      </w:r>
    </w:p>
  </w:footnote>
  <w:footnote w:type="continuationSeparator" w:id="0">
    <w:p w14:paraId="6CC327D4" w14:textId="77777777" w:rsidR="00CB25FA" w:rsidRDefault="00CB25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4A72B" w14:textId="5E817DCB"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52608" behindDoc="1" locked="0" layoutInCell="1" allowOverlap="1" wp14:anchorId="24AC54C8" wp14:editId="023D396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5D34F" w14:textId="2624EADE" w:rsidR="00AE3E37" w:rsidRPr="0049137A" w:rsidRDefault="00AE3E37">
                          <w:pPr>
                            <w:spacing w:before="2" w:line="249" w:lineRule="auto"/>
                            <w:ind w:left="156" w:right="18" w:hanging="137"/>
                            <w:rPr>
                              <w:rFonts w:ascii="Arial"/>
                              <w:color w:val="FF0000"/>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C54C8"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C55D34F" w14:textId="2624EADE" w:rsidR="00AE3E37" w:rsidRPr="0049137A" w:rsidRDefault="00AE3E37">
                    <w:pPr>
                      <w:spacing w:before="2" w:line="249" w:lineRule="auto"/>
                      <w:ind w:left="156" w:right="18" w:hanging="137"/>
                      <w:rPr>
                        <w:rFonts w:ascii="Arial"/>
                        <w:color w:val="FF0000"/>
                        <w:sz w:val="1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A35CF"/>
    <w:rsid w:val="000E2911"/>
    <w:rsid w:val="001263DF"/>
    <w:rsid w:val="002455EC"/>
    <w:rsid w:val="00292ED9"/>
    <w:rsid w:val="00404E5B"/>
    <w:rsid w:val="00414F7B"/>
    <w:rsid w:val="004355DC"/>
    <w:rsid w:val="004619D3"/>
    <w:rsid w:val="004749B4"/>
    <w:rsid w:val="0049137A"/>
    <w:rsid w:val="00494130"/>
    <w:rsid w:val="004F3523"/>
    <w:rsid w:val="005973B9"/>
    <w:rsid w:val="005A5B1E"/>
    <w:rsid w:val="005B3A56"/>
    <w:rsid w:val="006060CE"/>
    <w:rsid w:val="0063497F"/>
    <w:rsid w:val="00802F7D"/>
    <w:rsid w:val="00873DF0"/>
    <w:rsid w:val="008756E6"/>
    <w:rsid w:val="008A08B6"/>
    <w:rsid w:val="009B2D44"/>
    <w:rsid w:val="009E5FA2"/>
    <w:rsid w:val="00A07E82"/>
    <w:rsid w:val="00A9710C"/>
    <w:rsid w:val="00AE3E37"/>
    <w:rsid w:val="00B21A57"/>
    <w:rsid w:val="00B74639"/>
    <w:rsid w:val="00BC66EE"/>
    <w:rsid w:val="00C33602"/>
    <w:rsid w:val="00C33C2F"/>
    <w:rsid w:val="00CA3D82"/>
    <w:rsid w:val="00CB25FA"/>
    <w:rsid w:val="00CD6F55"/>
    <w:rsid w:val="00DE3104"/>
    <w:rsid w:val="00E1609D"/>
    <w:rsid w:val="00E26B10"/>
    <w:rsid w:val="00F14BD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B4B94"/>
  <w15:docId w15:val="{CEC858E7-C19D-4A1A-84EF-7F66EE34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68813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630</Words>
  <Characters>3470</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Cecilia Arteaga</cp:lastModifiedBy>
  <cp:revision>2</cp:revision>
  <dcterms:created xsi:type="dcterms:W3CDTF">2021-02-06T23:00:00Z</dcterms:created>
  <dcterms:modified xsi:type="dcterms:W3CDTF">2021-02-06T23:00:00Z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