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109E" w:rsidRPr="004F109E" w:rsidRDefault="004F109E" w:rsidP="004F109E">
      <w:pPr>
        <w:spacing w:line="240" w:lineRule="auto"/>
        <w:jc w:val="center"/>
        <w:rPr>
          <w:rFonts w:asciiTheme="majorBidi" w:hAnsiTheme="majorBidi" w:cstheme="majorBidi"/>
          <w:b/>
          <w:bCs/>
          <w:sz w:val="24"/>
          <w:szCs w:val="24"/>
        </w:rPr>
      </w:pPr>
      <w:r w:rsidRPr="004F109E">
        <w:rPr>
          <w:rFonts w:asciiTheme="majorBidi" w:hAnsiTheme="majorBidi" w:cstheme="majorBidi"/>
          <w:b/>
          <w:bCs/>
          <w:sz w:val="24"/>
          <w:szCs w:val="24"/>
        </w:rPr>
        <w:t xml:space="preserve">     Impact of Activated Sludge Bulking and Foaming on the Quality of Kuwait’s Irrigation Water </w:t>
      </w:r>
    </w:p>
    <w:p w:rsidR="004F109E" w:rsidRDefault="004F109E" w:rsidP="004F109E">
      <w:pPr>
        <w:pStyle w:val="Authors"/>
        <w:framePr w:w="0" w:hSpace="0" w:vSpace="0" w:wrap="auto" w:vAnchor="margin" w:hAnchor="text" w:xAlign="left" w:yAlign="inline"/>
        <w:rPr>
          <w:rFonts w:asciiTheme="majorBidi" w:hAnsiTheme="majorBidi" w:cstheme="majorBidi"/>
          <w:sz w:val="24"/>
          <w:szCs w:val="24"/>
        </w:rPr>
      </w:pPr>
    </w:p>
    <w:p w:rsidR="004F109E" w:rsidRPr="00772297" w:rsidRDefault="004F109E" w:rsidP="004F109E">
      <w:pPr>
        <w:pStyle w:val="Authors"/>
        <w:framePr w:w="0" w:hSpace="0" w:vSpace="0" w:wrap="auto" w:vAnchor="margin" w:hAnchor="text" w:xAlign="left" w:yAlign="inline"/>
        <w:rPr>
          <w:rFonts w:asciiTheme="majorBidi" w:eastAsia="SimSun" w:hAnsiTheme="majorBidi" w:cstheme="majorBidi"/>
          <w:sz w:val="24"/>
          <w:szCs w:val="24"/>
          <w:lang w:eastAsia="zh-CN"/>
        </w:rPr>
      </w:pPr>
      <w:r w:rsidRPr="00772297">
        <w:rPr>
          <w:rFonts w:asciiTheme="majorBidi" w:hAnsiTheme="majorBidi" w:cstheme="majorBidi"/>
          <w:sz w:val="24"/>
          <w:szCs w:val="24"/>
        </w:rPr>
        <w:t>A. Abusam,</w:t>
      </w:r>
      <w:r w:rsidRPr="00772297">
        <w:rPr>
          <w:rFonts w:asciiTheme="majorBidi" w:hAnsiTheme="majorBidi" w:cstheme="majorBidi"/>
          <w:sz w:val="24"/>
          <w:szCs w:val="24"/>
          <w:rtl/>
        </w:rPr>
        <w:t xml:space="preserve"> </w:t>
      </w:r>
      <w:r w:rsidRPr="00772297">
        <w:rPr>
          <w:rFonts w:asciiTheme="majorBidi" w:hAnsiTheme="majorBidi" w:cstheme="majorBidi"/>
          <w:sz w:val="24"/>
          <w:szCs w:val="24"/>
        </w:rPr>
        <w:t>A. Mydlarczyk</w:t>
      </w:r>
      <w:r w:rsidRPr="00772297">
        <w:rPr>
          <w:rFonts w:asciiTheme="majorBidi" w:eastAsia="SimSun" w:hAnsiTheme="majorBidi" w:cstheme="majorBidi"/>
          <w:sz w:val="24"/>
          <w:szCs w:val="24"/>
          <w:lang w:eastAsia="zh-CN"/>
        </w:rPr>
        <w:t>,</w:t>
      </w:r>
      <w:r w:rsidRPr="00772297">
        <w:rPr>
          <w:rFonts w:asciiTheme="majorBidi" w:hAnsiTheme="majorBidi" w:cstheme="majorBidi"/>
          <w:sz w:val="24"/>
          <w:szCs w:val="24"/>
        </w:rPr>
        <w:t xml:space="preserve"> F. Al-</w:t>
      </w:r>
      <w:proofErr w:type="spellStart"/>
      <w:r w:rsidRPr="00772297">
        <w:rPr>
          <w:rFonts w:asciiTheme="majorBidi" w:hAnsiTheme="majorBidi" w:cstheme="majorBidi"/>
          <w:sz w:val="24"/>
          <w:szCs w:val="24"/>
        </w:rPr>
        <w:t>Salameen</w:t>
      </w:r>
      <w:proofErr w:type="spellEnd"/>
      <w:r w:rsidRPr="00772297">
        <w:rPr>
          <w:rFonts w:asciiTheme="majorBidi" w:hAnsiTheme="majorBidi" w:cstheme="majorBidi"/>
          <w:sz w:val="24"/>
          <w:szCs w:val="24"/>
        </w:rPr>
        <w:t>, and M.</w:t>
      </w:r>
      <w:r w:rsidRPr="00772297">
        <w:rPr>
          <w:rFonts w:asciiTheme="majorBidi" w:eastAsia="SimSun" w:hAnsiTheme="majorBidi" w:cstheme="majorBidi"/>
          <w:sz w:val="24"/>
          <w:szCs w:val="24"/>
          <w:lang w:eastAsia="zh-CN"/>
        </w:rPr>
        <w:t xml:space="preserve"> </w:t>
      </w:r>
      <w:r w:rsidRPr="00772297">
        <w:rPr>
          <w:rFonts w:asciiTheme="majorBidi" w:hAnsiTheme="majorBidi" w:cstheme="majorBidi"/>
          <w:sz w:val="24"/>
          <w:szCs w:val="24"/>
        </w:rPr>
        <w:t>I. Ahmed</w:t>
      </w:r>
    </w:p>
    <w:p w:rsidR="004F109E" w:rsidRDefault="004F109E" w:rsidP="004F109E">
      <w:pPr>
        <w:spacing w:line="240" w:lineRule="auto"/>
        <w:jc w:val="both"/>
        <w:rPr>
          <w:rFonts w:asciiTheme="majorBidi" w:hAnsiTheme="majorBidi" w:cstheme="majorBidi"/>
          <w:b/>
          <w:bCs/>
          <w:sz w:val="24"/>
          <w:szCs w:val="24"/>
        </w:rPr>
      </w:pPr>
    </w:p>
    <w:p w:rsidR="004F109E" w:rsidRPr="00772297" w:rsidRDefault="004F109E" w:rsidP="004F109E">
      <w:pPr>
        <w:spacing w:line="240" w:lineRule="auto"/>
        <w:jc w:val="both"/>
        <w:rPr>
          <w:rFonts w:asciiTheme="majorBidi" w:hAnsiTheme="majorBidi" w:cstheme="majorBidi"/>
          <w:sz w:val="24"/>
          <w:szCs w:val="24"/>
        </w:rPr>
      </w:pPr>
      <w:r w:rsidRPr="00772297">
        <w:rPr>
          <w:rFonts w:asciiTheme="majorBidi" w:hAnsiTheme="majorBidi" w:cstheme="majorBidi"/>
          <w:b/>
          <w:bCs/>
          <w:sz w:val="24"/>
          <w:szCs w:val="24"/>
        </w:rPr>
        <w:t xml:space="preserve"> Abstract</w:t>
      </w:r>
      <w:r>
        <w:rPr>
          <w:rFonts w:asciiTheme="majorBidi" w:hAnsiTheme="majorBidi" w:cstheme="majorBidi"/>
          <w:b/>
          <w:bCs/>
          <w:sz w:val="24"/>
          <w:szCs w:val="24"/>
        </w:rPr>
        <w:t>-</w:t>
      </w:r>
      <w:r w:rsidRPr="00772297">
        <w:rPr>
          <w:rFonts w:asciiTheme="majorBidi" w:hAnsiTheme="majorBidi" w:cstheme="majorBidi"/>
          <w:sz w:val="24"/>
          <w:szCs w:val="24"/>
        </w:rPr>
        <w:t>Treated municipal wastewater produced in Kuwait is reused mainly in agriculture and landscape irrigations. However, there are strong doubts that severe sludge bulking and foaming problems, particularly during winter seasons, may render this water unsuitable for irrigation purposes. To assess the impact of this problem on the quality of irrigation water in Kuwait, weekly samples of secondary and tertiary effluents were collected from two wastewater treatment plants for nine months (January to September 2014) and routine wastewater quality parameters were determined. Further, dominant filamentous bacteria in weekly sludge-mixed liquor samples collected from the aeration tanks were also identified using a molecular method called VIT (</w:t>
      </w:r>
      <w:proofErr w:type="spellStart"/>
      <w:r w:rsidRPr="00772297">
        <w:rPr>
          <w:rFonts w:asciiTheme="majorBidi" w:hAnsiTheme="majorBidi" w:cstheme="majorBidi"/>
          <w:sz w:val="24"/>
          <w:szCs w:val="24"/>
        </w:rPr>
        <w:t>Vermicon</w:t>
      </w:r>
      <w:proofErr w:type="spellEnd"/>
      <w:r w:rsidRPr="00772297">
        <w:rPr>
          <w:rFonts w:asciiTheme="majorBidi" w:hAnsiTheme="majorBidi" w:cstheme="majorBidi"/>
          <w:sz w:val="24"/>
          <w:szCs w:val="24"/>
        </w:rPr>
        <w:t xml:space="preserve"> Identification Technology). Obtained results of the effluents’ qualities were then statistically analyzed and compared to Kuwait’s irrigation water standards. Statistical analysis indicated that secondary effluents were greatly impacted by sludge bulking and foaming problems, while tertiary effluents were slightly affected. This finding highlights the importance of tertiary treatment units in plants that encountering sludge bulking and foaming problems.</w:t>
      </w:r>
    </w:p>
    <w:p w:rsidR="004F109E" w:rsidRPr="00772297" w:rsidRDefault="004F109E" w:rsidP="004F109E">
      <w:pPr>
        <w:spacing w:line="240" w:lineRule="auto"/>
        <w:ind w:firstLine="202"/>
        <w:jc w:val="both"/>
        <w:rPr>
          <w:rFonts w:asciiTheme="majorBidi" w:hAnsiTheme="majorBidi" w:cstheme="majorBidi"/>
          <w:sz w:val="24"/>
          <w:szCs w:val="24"/>
        </w:rPr>
      </w:pPr>
      <w:r w:rsidRPr="00772297">
        <w:rPr>
          <w:rFonts w:asciiTheme="majorBidi" w:hAnsiTheme="majorBidi" w:cstheme="majorBidi"/>
          <w:b/>
          <w:bCs/>
          <w:sz w:val="24"/>
          <w:szCs w:val="24"/>
        </w:rPr>
        <w:t>Keywords</w:t>
      </w:r>
      <w:r>
        <w:rPr>
          <w:rFonts w:asciiTheme="majorBidi" w:hAnsiTheme="majorBidi" w:cstheme="majorBidi"/>
          <w:b/>
          <w:bCs/>
          <w:sz w:val="24"/>
          <w:szCs w:val="24"/>
        </w:rPr>
        <w:t>-</w:t>
      </w:r>
      <w:r w:rsidRPr="00772297">
        <w:rPr>
          <w:rFonts w:asciiTheme="majorBidi" w:hAnsiTheme="majorBidi" w:cstheme="majorBidi"/>
          <w:sz w:val="24"/>
          <w:szCs w:val="24"/>
        </w:rPr>
        <w:t xml:space="preserve">Agriculture, Filamentous bacteria, Reclamation, Reuse, Wastewater. </w:t>
      </w:r>
    </w:p>
    <w:p w:rsidR="000579A4" w:rsidRDefault="000579A4"/>
    <w:sectPr w:rsidR="000579A4" w:rsidSect="000579A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PMingLiU">
    <w:altName w:val="新細明體"/>
    <w:panose1 w:val="02020500000000000000"/>
    <w:charset w:val="88"/>
    <w:family w:val="auto"/>
    <w:notTrueType/>
    <w:pitch w:val="variable"/>
    <w:sig w:usb0="00000001" w:usb1="08080000" w:usb2="00000010" w:usb3="00000000" w:csb0="00100000"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defaultTabStop w:val="720"/>
  <w:characterSpacingControl w:val="doNotCompress"/>
  <w:compat/>
  <w:rsids>
    <w:rsidRoot w:val="004F109E"/>
    <w:rsid w:val="000579A4"/>
    <w:rsid w:val="004F109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109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s">
    <w:name w:val="Authors"/>
    <w:basedOn w:val="Normal"/>
    <w:next w:val="Normal"/>
    <w:rsid w:val="004F109E"/>
    <w:pPr>
      <w:framePr w:w="9072" w:hSpace="187" w:vSpace="187" w:wrap="notBeside" w:vAnchor="text" w:hAnchor="page" w:xAlign="center" w:y="1"/>
      <w:autoSpaceDE w:val="0"/>
      <w:autoSpaceDN w:val="0"/>
      <w:spacing w:after="320" w:line="240" w:lineRule="auto"/>
      <w:jc w:val="center"/>
    </w:pPr>
    <w:rPr>
      <w:rFonts w:ascii="Times New Roman" w:eastAsia="PMingLiU" w:hAnsi="Times New Roman"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216</Words>
  <Characters>1237</Characters>
  <Application>Microsoft Office Word</Application>
  <DocSecurity>0</DocSecurity>
  <Lines>10</Lines>
  <Paragraphs>2</Paragraphs>
  <ScaleCrop>false</ScaleCrop>
  <Company>Kuwait Institute for Scientific Research</Company>
  <LinksUpToDate>false</LinksUpToDate>
  <CharactersWithSpaces>1451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aabusam</dc:creator>
  <cp:lastModifiedBy>aabusam</cp:lastModifiedBy>
  <cp:revision>1</cp:revision>
  <dcterms:created xsi:type="dcterms:W3CDTF">2019-01-31T05:40:00Z</dcterms:created>
  <dcterms:modified xsi:type="dcterms:W3CDTF">2019-01-31T05:42:00Z</dcterms:modified>
</cp:coreProperties>
</file>