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Arial" w:hAnsi="Arial" w:eastAsia="Calibri" w:cs="Arial"/>
          <w:b/>
          <w:bCs/>
          <w:sz w:val="24"/>
          <w:szCs w:val="24"/>
        </w:rPr>
      </w:pPr>
      <w:r>
        <w:rPr>
          <w:rFonts w:ascii="Arial" w:hAnsi="Arial" w:eastAsia="Calibri" w:cs="Arial"/>
          <w:b/>
          <w:bCs/>
          <w:sz w:val="24"/>
          <w:szCs w:val="24"/>
        </w:rPr>
        <w:t>Title:</w:t>
      </w:r>
      <w:r>
        <w:rPr>
          <w:rFonts w:ascii="Times New Roman" w:hAnsi="Times New Roman" w:eastAsia="Calibri" w:cs="Times New Roman"/>
          <w:b/>
          <w:bCs/>
        </w:rPr>
        <w:t xml:space="preserve"> </w:t>
      </w:r>
      <w:r>
        <w:rPr>
          <w:rFonts w:ascii="Arial" w:hAnsi="Arial" w:eastAsia="Calibri" w:cs="Arial"/>
          <w:b/>
          <w:bCs/>
          <w:sz w:val="24"/>
          <w:szCs w:val="24"/>
        </w:rPr>
        <w:t>Outbreak of</w:t>
      </w:r>
      <w:r>
        <w:rPr>
          <w:rFonts w:ascii="Times New Roman" w:hAnsi="Times New Roman" w:eastAsia="Calibri" w:cs="Times New Roman"/>
          <w:b/>
          <w:bCs/>
        </w:rPr>
        <w:t xml:space="preserve"> </w:t>
      </w:r>
      <w:r>
        <w:rPr>
          <w:rFonts w:ascii="Arial" w:hAnsi="Arial" w:eastAsia="Calibri" w:cs="Arial"/>
          <w:b/>
          <w:bCs/>
          <w:sz w:val="24"/>
          <w:szCs w:val="24"/>
        </w:rPr>
        <w:t>Guillain Barre Syndrome (GBS)- Joypurhat, Bangladesh, 2018</w:t>
      </w:r>
    </w:p>
    <w:p>
      <w:pPr>
        <w:rPr>
          <w:rFonts w:ascii="Arial" w:hAnsi="Arial" w:eastAsia="Calibri" w:cs="Arial"/>
          <w:b/>
          <w:bCs/>
        </w:rPr>
      </w:pPr>
      <w:bookmarkStart w:id="0" w:name="_GoBack"/>
      <w:bookmarkEnd w:id="0"/>
    </w:p>
    <w:p>
      <w:pPr>
        <w:rPr>
          <w:rFonts w:ascii="Arial" w:hAnsi="Arial" w:eastAsia="Calibri" w:cs="Arial"/>
          <w:b/>
          <w:bCs/>
        </w:rPr>
      </w:pPr>
      <w:r>
        <w:rPr>
          <w:rFonts w:ascii="Arial" w:hAnsi="Arial" w:eastAsia="Calibri" w:cs="Arial"/>
          <w:b/>
          <w:bCs/>
        </w:rPr>
        <w:t>Authors:</w:t>
      </w:r>
      <w:r>
        <w:rPr>
          <w:rFonts w:ascii="Times New Roman" w:hAnsi="Times New Roman" w:eastAsia="Calibri" w:cs="Times New Roman"/>
          <w:b/>
          <w:bCs/>
        </w:rPr>
        <w:t xml:space="preserve"> </w:t>
      </w:r>
      <w:r>
        <w:rPr>
          <w:rFonts w:ascii="Arial" w:hAnsi="Arial" w:eastAsia="Calibri" w:cs="Arial"/>
          <w:b/>
          <w:bCs/>
        </w:rPr>
        <w:t>Dr. Sohel Raman</w:t>
      </w:r>
      <w:r>
        <w:rPr>
          <w:rFonts w:ascii="Arial" w:hAnsi="Arial" w:eastAsia="Calibri" w:cs="Arial"/>
          <w:b/>
          <w:bCs/>
          <w:vertAlign w:val="superscript"/>
        </w:rPr>
        <w:t>1</w:t>
      </w:r>
      <w:r>
        <w:rPr>
          <w:rFonts w:ascii="Arial" w:hAnsi="Arial" w:eastAsia="Calibri" w:cs="Arial"/>
          <w:b/>
          <w:bCs/>
        </w:rPr>
        <w:t>, Dr. Monalisa</w:t>
      </w:r>
      <w:r>
        <w:rPr>
          <w:rFonts w:ascii="Arial" w:hAnsi="Arial" w:eastAsia="Calibri" w:cs="Arial"/>
          <w:b/>
          <w:bCs/>
          <w:vertAlign w:val="superscript"/>
        </w:rPr>
        <w:t>1</w:t>
      </w:r>
      <w:r>
        <w:rPr>
          <w:rFonts w:ascii="Arial" w:hAnsi="Arial" w:eastAsia="Calibri" w:cs="Arial"/>
          <w:b/>
          <w:bCs/>
        </w:rPr>
        <w:t>, Dr. Tanzila Naureen</w:t>
      </w:r>
      <w:r>
        <w:rPr>
          <w:rFonts w:ascii="Arial" w:hAnsi="Arial" w:eastAsia="Calibri" w:cs="Arial"/>
          <w:b/>
          <w:bCs/>
          <w:vertAlign w:val="superscript"/>
        </w:rPr>
        <w:t>1</w:t>
      </w:r>
      <w:r>
        <w:rPr>
          <w:rFonts w:ascii="Arial" w:hAnsi="Arial" w:eastAsia="Calibri" w:cs="Arial"/>
          <w:b/>
          <w:bCs/>
        </w:rPr>
        <w:t>, Dr. M H K Jony</w:t>
      </w:r>
      <w:r>
        <w:rPr>
          <w:rFonts w:ascii="Arial" w:hAnsi="Arial" w:eastAsia="Calibri" w:cs="Arial"/>
          <w:b/>
          <w:bCs/>
          <w:vertAlign w:val="superscript"/>
        </w:rPr>
        <w:t>1</w:t>
      </w:r>
      <w:r>
        <w:rPr>
          <w:rFonts w:ascii="Arial" w:hAnsi="Arial" w:eastAsia="Calibri" w:cs="Arial"/>
          <w:b/>
          <w:bCs/>
        </w:rPr>
        <w:t>, Dr. Mallick Masum Billah</w:t>
      </w:r>
      <w:r>
        <w:rPr>
          <w:rFonts w:ascii="Arial" w:hAnsi="Arial" w:eastAsia="Calibri" w:cs="Arial"/>
          <w:b/>
          <w:bCs/>
          <w:vertAlign w:val="superscript"/>
        </w:rPr>
        <w:t>2</w:t>
      </w:r>
      <w:r>
        <w:rPr>
          <w:rFonts w:ascii="Arial" w:hAnsi="Arial" w:eastAsia="Calibri" w:cs="Arial"/>
          <w:b/>
          <w:bCs/>
        </w:rPr>
        <w:t>, Prof Tahmina Shirin</w:t>
      </w:r>
      <w:r>
        <w:rPr>
          <w:rFonts w:ascii="Arial" w:hAnsi="Arial" w:eastAsia="Calibri" w:cs="Arial"/>
          <w:b/>
          <w:bCs/>
          <w:vertAlign w:val="superscript"/>
        </w:rPr>
        <w:t>1</w:t>
      </w:r>
      <w:r>
        <w:rPr>
          <w:rFonts w:ascii="Arial" w:hAnsi="Arial" w:eastAsia="Calibri" w:cs="Arial"/>
          <w:b/>
          <w:bCs/>
        </w:rPr>
        <w:t xml:space="preserve"> Prof. M S Flora</w:t>
      </w:r>
      <w:r>
        <w:rPr>
          <w:rFonts w:ascii="Arial" w:hAnsi="Arial" w:eastAsia="Calibri" w:cs="Arial"/>
          <w:b/>
          <w:bCs/>
          <w:vertAlign w:val="superscript"/>
        </w:rPr>
        <w:t>1</w:t>
      </w:r>
      <w:r>
        <w:rPr>
          <w:rFonts w:ascii="Arial" w:hAnsi="Arial" w:eastAsia="Calibri" w:cs="Arial"/>
          <w:b/>
          <w:bCs/>
        </w:rPr>
        <w:t>.</w:t>
      </w:r>
    </w:p>
    <w:p>
      <w:pPr>
        <w:rPr>
          <w:rFonts w:ascii="Arial" w:hAnsi="Arial" w:eastAsia="Calibri" w:cs="Arial"/>
          <w:b/>
          <w:bCs/>
          <w:vertAlign w:val="superscript"/>
        </w:rPr>
      </w:pPr>
      <w:r>
        <w:rPr>
          <w:rFonts w:ascii="Arial" w:hAnsi="Arial" w:eastAsia="Calibri" w:cs="Arial"/>
          <w:b/>
          <w:bCs/>
        </w:rPr>
        <w:t>Affiliations:</w:t>
      </w:r>
      <w:r>
        <w:rPr>
          <w:rFonts w:ascii="Arial" w:hAnsi="Arial" w:eastAsia="Calibri" w:cs="Arial"/>
        </w:rPr>
        <w:t xml:space="preserve"> </w:t>
      </w:r>
      <w:r>
        <w:rPr>
          <w:rFonts w:ascii="Arial" w:hAnsi="Arial" w:eastAsia="Calibri" w:cs="Arial"/>
          <w:b/>
          <w:bCs/>
          <w:vertAlign w:val="superscript"/>
        </w:rPr>
        <w:t>1</w:t>
      </w:r>
      <w:r>
        <w:rPr>
          <w:rFonts w:ascii="Arial" w:hAnsi="Arial" w:eastAsia="Calibri" w:cs="Arial"/>
          <w:b/>
          <w:bCs/>
        </w:rPr>
        <w:t xml:space="preserve">Institute of Epidemiology Disease Control and Research (IEDCR) </w:t>
      </w:r>
      <w:r>
        <w:rPr>
          <w:rFonts w:ascii="Arial" w:hAnsi="Arial" w:eastAsia="Calibri" w:cs="Arial"/>
          <w:b/>
          <w:bCs/>
          <w:vertAlign w:val="superscript"/>
        </w:rPr>
        <w:t>2</w:t>
      </w:r>
      <w:r>
        <w:fldChar w:fldCharType="begin"/>
      </w:r>
      <w:r>
        <w:instrText xml:space="preserve"> HYPERLINK "http://www.tephinet.org/" </w:instrText>
      </w:r>
      <w:r>
        <w:fldChar w:fldCharType="separate"/>
      </w:r>
      <w:r>
        <w:rPr>
          <w:rStyle w:val="3"/>
          <w:rFonts w:ascii="Arial" w:hAnsi="Arial" w:eastAsia="Calibri" w:cs="Arial"/>
          <w:b/>
          <w:bCs/>
        </w:rPr>
        <w:t>TEPHINET Secretariat</w:t>
      </w:r>
      <w:r>
        <w:rPr>
          <w:rStyle w:val="3"/>
          <w:rFonts w:ascii="Arial" w:hAnsi="Arial" w:eastAsia="Calibri" w:cs="Arial"/>
          <w:b/>
          <w:bCs/>
        </w:rPr>
        <w:fldChar w:fldCharType="end"/>
      </w:r>
      <w:r>
        <w:rPr>
          <w:rFonts w:ascii="Arial" w:hAnsi="Arial" w:eastAsia="Calibri" w:cs="Arial"/>
          <w:b/>
          <w:bCs/>
        </w:rPr>
        <w:t xml:space="preserve">, A program of </w:t>
      </w:r>
      <w:r>
        <w:fldChar w:fldCharType="begin"/>
      </w:r>
      <w:r>
        <w:instrText xml:space="preserve"> HYPERLINK "http://www.taskforce.org/" </w:instrText>
      </w:r>
      <w:r>
        <w:fldChar w:fldCharType="separate"/>
      </w:r>
      <w:r>
        <w:rPr>
          <w:rStyle w:val="3"/>
          <w:rFonts w:ascii="Arial" w:hAnsi="Arial" w:eastAsia="Calibri" w:cs="Arial"/>
          <w:b/>
          <w:bCs/>
        </w:rPr>
        <w:t>The Task Force for Global Health</w:t>
      </w:r>
      <w:r>
        <w:rPr>
          <w:rStyle w:val="3"/>
          <w:rFonts w:ascii="Arial" w:hAnsi="Arial" w:eastAsia="Calibri" w:cs="Arial"/>
          <w:b/>
          <w:bCs/>
        </w:rPr>
        <w:fldChar w:fldCharType="end"/>
      </w:r>
      <w:r>
        <w:rPr>
          <w:rFonts w:ascii="Arial" w:hAnsi="Arial" w:eastAsia="Calibri" w:cs="Arial"/>
          <w:b/>
          <w:bCs/>
        </w:rPr>
        <w:t>.</w:t>
      </w:r>
    </w:p>
    <w:p>
      <w:pPr>
        <w:rPr>
          <w:rFonts w:ascii="Arial" w:hAnsi="Arial" w:eastAsia="Calibri" w:cs="Arial"/>
        </w:rPr>
      </w:pPr>
      <w:r>
        <w:rPr>
          <w:rFonts w:ascii="Arial" w:hAnsi="Arial" w:eastAsia="Calibri" w:cs="Arial"/>
        </w:rPr>
        <w:t xml:space="preserve"> </w:t>
      </w:r>
    </w:p>
    <w:p>
      <w:pPr>
        <w:rPr>
          <w:rFonts w:ascii="Arial" w:hAnsi="Arial" w:eastAsia="Calibri" w:cs="Arial"/>
        </w:rPr>
      </w:pPr>
      <w:r>
        <w:rPr>
          <w:rFonts w:ascii="Arial" w:hAnsi="Arial" w:eastAsia="Calibri" w:cs="Arial"/>
        </w:rPr>
        <w:t xml:space="preserve"> </w:t>
      </w:r>
    </w:p>
    <w:p>
      <w:pPr>
        <w:rPr>
          <w:rFonts w:ascii="Arial" w:hAnsi="Arial" w:eastAsia="Calibri" w:cs="Arial"/>
        </w:rPr>
      </w:pPr>
      <w:r>
        <w:rPr>
          <w:rFonts w:ascii="Arial" w:hAnsi="Arial" w:eastAsia="Calibri" w:cs="Arial"/>
          <w:b/>
          <w:bCs/>
        </w:rPr>
        <w:t xml:space="preserve">Key words: </w:t>
      </w:r>
      <w:r>
        <w:rPr>
          <w:rFonts w:ascii="Arial" w:hAnsi="Arial" w:eastAsia="Calibri" w:cs="Arial"/>
        </w:rPr>
        <w:t>Guillain Barre Syndrome (GBS), Campylobacter, Outbreak, Bangladesh.</w:t>
      </w:r>
    </w:p>
    <w:p>
      <w:pPr>
        <w:rPr>
          <w:rFonts w:ascii="Arial" w:hAnsi="Arial" w:eastAsia="Calibri" w:cs="Arial"/>
        </w:rPr>
      </w:pPr>
      <w:r>
        <w:rPr>
          <w:rFonts w:ascii="Arial" w:hAnsi="Arial" w:eastAsia="Calibri" w:cs="Arial"/>
        </w:rPr>
        <w:t xml:space="preserve"> </w:t>
      </w:r>
    </w:p>
    <w:p>
      <w:pPr>
        <w:rPr>
          <w:rFonts w:hint="default" w:ascii="Arial" w:hAnsi="Arial" w:eastAsia="Calibri" w:cs="Arial"/>
          <w:lang w:val="en-US"/>
        </w:rPr>
      </w:pPr>
      <w:r>
        <w:rPr>
          <w:rFonts w:ascii="Arial" w:hAnsi="Arial" w:eastAsia="Calibri" w:cs="Arial"/>
        </w:rPr>
        <w:t>We investigated Guillain-Barre-Syndrome (GBS) outbreak from 8</w:t>
      </w:r>
      <w:r>
        <w:rPr>
          <w:rFonts w:ascii="Arial" w:hAnsi="Arial" w:eastAsia="Calibri" w:cs="Arial"/>
          <w:vertAlign w:val="superscript"/>
        </w:rPr>
        <w:t>th</w:t>
      </w:r>
      <w:r>
        <w:rPr>
          <w:rFonts w:ascii="Arial" w:hAnsi="Arial" w:eastAsia="Calibri" w:cs="Arial"/>
        </w:rPr>
        <w:t xml:space="preserve"> to 17</w:t>
      </w:r>
      <w:r>
        <w:rPr>
          <w:rFonts w:ascii="Arial" w:hAnsi="Arial" w:eastAsia="Calibri" w:cs="Arial"/>
          <w:vertAlign w:val="superscript"/>
        </w:rPr>
        <w:t>th</w:t>
      </w:r>
      <w:r>
        <w:rPr>
          <w:rFonts w:ascii="Arial" w:hAnsi="Arial" w:eastAsia="Calibri" w:cs="Arial"/>
        </w:rPr>
        <w:t xml:space="preserve"> November, 2018 in Joypurhat, a district of northern Bangladesh to identify causative agent(s) with source of infection and recommended control measures. We identified cases through enhanced passive surveillance followed by interview them and conducted verbal autopsies of deceased to collect demographic, clinical information, and exposure history (water and food). We collected blood and stool samples from cases. Serological testing (ELISA) for campylobacter were done in International center for diarrheal disease research and molecular test were done in Institute of Epidemiology Disease Control and Research lab. Stool samples were tested at national polio and measles laboratory (Reference labs). We identified 13 cases including five deaths (case fatality rate 38%). Clinical findings were classical (GBS), male predominant (67%), apart from rapid involvement of respiratory muscle paralysis (within 48 hours of illness onset) in 46% cases and 83.3% of them were dead. We found albuminocytologic dissociation in cerebrospinal fluid of 62% (n=13) cases. Serological test confirmed presence of </w:t>
      </w:r>
      <w:r>
        <w:rPr>
          <w:rFonts w:ascii="Arial" w:hAnsi="Arial" w:eastAsia="Calibri" w:cs="Arial"/>
          <w:i/>
          <w:iCs/>
        </w:rPr>
        <w:t>Campylobacter</w:t>
      </w:r>
      <w:r>
        <w:rPr>
          <w:rFonts w:ascii="Arial" w:hAnsi="Arial" w:eastAsia="Calibri" w:cs="Arial"/>
        </w:rPr>
        <w:t xml:space="preserve"> spp. in 42% (n=7) of cases. Molecular test for dengue, zika and chikungunya were negative. All stool samples were negative for poliovirus. This outbreak of GBS was likely due to </w:t>
      </w:r>
      <w:r>
        <w:rPr>
          <w:rFonts w:ascii="Arial" w:hAnsi="Arial" w:eastAsia="Calibri" w:cs="Arial"/>
          <w:i/>
          <w:iCs/>
        </w:rPr>
        <w:t xml:space="preserve">Campylobacter </w:t>
      </w:r>
      <w:r>
        <w:rPr>
          <w:rFonts w:ascii="Arial" w:hAnsi="Arial" w:eastAsia="Calibri" w:cs="Arial"/>
        </w:rPr>
        <w:t>spp. though we could not confirm the source of infection. Rapid respiratory paralysis contributed to high mortality in this outbreak. We recommend maintain</w:t>
      </w:r>
      <w:r>
        <w:rPr>
          <w:rFonts w:hint="default" w:ascii="Arial" w:hAnsi="Arial" w:eastAsia="Calibri" w:cs="Arial"/>
          <w:lang w:val="en-US"/>
        </w:rPr>
        <w:t>ing</w:t>
      </w:r>
      <w:r>
        <w:rPr>
          <w:rFonts w:ascii="Arial" w:hAnsi="Arial" w:eastAsia="Calibri" w:cs="Arial"/>
        </w:rPr>
        <w:t xml:space="preserve"> adequate hygienic measures</w:t>
      </w:r>
      <w:r>
        <w:rPr>
          <w:rFonts w:hint="default" w:ascii="Arial" w:hAnsi="Arial" w:eastAsia="Calibri" w:cs="Arial"/>
          <w:lang w:val="en-US"/>
        </w:rPr>
        <w:t xml:space="preserve"> and establishing a surveillance system  to reduce mortality and morbidity of GBS.  </w:t>
      </w:r>
    </w:p>
    <w:p>
      <w:pPr>
        <w:rPr>
          <w:rFonts w:hint="default"/>
          <w:lang w:val="en-US"/>
        </w:rPr>
      </w:pPr>
      <w:r>
        <w:rPr>
          <w:rFonts w:hint="default"/>
          <w:lang w:val="en-US"/>
        </w:rPr>
        <w:t xml:space="preserve"> </w:t>
      </w:r>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00002FF" w:usb1="4000ACFF" w:usb2="00000001" w:usb3="00000000" w:csb0="2000019F" w:csb1="00000000"/>
  </w:font>
  <w:font w:name="Vrinda">
    <w:altName w:val="Siyam Rupali"/>
    <w:panose1 w:val="02000500000000020004"/>
    <w:charset w:val="00"/>
    <w:family w:val="auto"/>
    <w:pitch w:val="default"/>
    <w:sig w:usb0="00000000" w:usb1="00000000" w:usb2="00000000" w:usb3="00000000" w:csb0="00000001" w:csb1="00000000"/>
  </w:font>
  <w:font w:name="Calibri">
    <w:panose1 w:val="020F0502020204030204"/>
    <w:charset w:val="00"/>
    <w:family w:val="auto"/>
    <w:pitch w:val="default"/>
    <w:sig w:usb0="E00002FF" w:usb1="4000ACFF" w:usb2="00000001" w:usb3="00000000" w:csb0="2000019F" w:csb1="00000000"/>
  </w:font>
  <w:font w:name="Siyam Rupali">
    <w:panose1 w:val="02000500000000020004"/>
    <w:charset w:val="00"/>
    <w:family w:val="auto"/>
    <w:pitch w:val="default"/>
    <w:sig w:usb0="0001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2B9"/>
    <w:rsid w:val="00165294"/>
    <w:rsid w:val="008112B9"/>
    <w:rsid w:val="40B37DF8"/>
    <w:rsid w:val="550D476D"/>
    <w:rsid w:val="764012EE"/>
    <w:rsid w:val="78ED5323"/>
  </w:rsids>
  <m:mathPr>
    <m:mathFont m:val="Cambria Math"/>
    <m:brkBin m:val="before"/>
    <m:brkBinSub m:val="--"/>
    <m:smallFrac m:val="0"/>
    <m:dispDef/>
    <m:lMargin m:val="0"/>
    <m:rMargin m:val="0"/>
    <m:defJc m:val="centerGroup"/>
    <m:wrapIndent m:val="1440"/>
    <m:intLim m:val="subSup"/>
    <m:naryLim m:val="undOvr"/>
  </m:mathPr>
  <w:themeFontLang w:val="en-US" w:eastAsia="zh-CN" w:bidi="bn-BD"/>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160" w:line="256" w:lineRule="auto"/>
    </w:pPr>
    <w:rPr>
      <w:rFonts w:ascii="Calibri" w:hAnsi="Calibri" w:eastAsia="Times New Roman" w:cs="Vrinda"/>
      <w:sz w:val="22"/>
      <w:szCs w:val="22"/>
      <w:lang w:val="en-US" w:eastAsia="en-US" w:bidi="bn-BD"/>
    </w:rPr>
  </w:style>
  <w:style w:type="character" w:default="1" w:styleId="2">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3">
    <w:name w:val="Hyperlink"/>
    <w:basedOn w:val="2"/>
    <w:unhideWhenUsed/>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321</Words>
  <Characters>1835</Characters>
  <Lines>15</Lines>
  <Paragraphs>4</Paragraphs>
  <TotalTime>1</TotalTime>
  <ScaleCrop>false</ScaleCrop>
  <LinksUpToDate>false</LinksUpToDate>
  <CharactersWithSpaces>2152</CharactersWithSpaces>
  <Application>WPS Office_11.2.0.9327_F1E327BC-269C-435d-A152-05C5408002CA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2020-06-15T12:25:00Z</dcterms:created>
  <dc:creator>Dr. Sohel</dc:creator>
  <cp:lastModifiedBy>Dr. Sohel</cp:lastModifiedBy>
  <dcterms:modified xsi:type="dcterms:W3CDTF">2020-06-19T06:14:43Z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1033-11.2.0.9327</vt:lpwstr>
  </property>
</Properties>
</file>