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7CCC8" w14:textId="47178E20" w:rsidR="00AE3E37" w:rsidRDefault="007733AD" w:rsidP="00494130">
      <w:pPr>
        <w:pStyle w:val="Heading1"/>
        <w:spacing w:before="170"/>
        <w:ind w:left="0"/>
      </w:pPr>
      <w:r>
        <w:rPr>
          <w:color w:val="337AB7"/>
        </w:rPr>
        <w:t>Development of a functional tea and its effect on anthropometrical and biochemical parameters of obese patients</w:t>
      </w:r>
    </w:p>
    <w:p w14:paraId="29BF1257" w14:textId="4B7E87D8" w:rsidR="007733AD" w:rsidRDefault="005973B9" w:rsidP="005973B9">
      <w:pPr>
        <w:pStyle w:val="BodyText"/>
        <w:spacing w:before="73" w:line="198" w:lineRule="exact"/>
        <w:ind w:left="100" w:right="5987"/>
        <w:rPr>
          <w:rFonts w:ascii="Arial"/>
          <w:lang w:val="es-HN"/>
        </w:rPr>
      </w:pPr>
      <w:r w:rsidRPr="007733AD">
        <w:rPr>
          <w:rFonts w:ascii="Arial"/>
          <w:lang w:val="es-HN"/>
        </w:rPr>
        <w:t>D</w:t>
      </w:r>
      <w:r w:rsidR="007733AD" w:rsidRPr="007733AD">
        <w:rPr>
          <w:rFonts w:ascii="Arial"/>
          <w:lang w:val="es-HN"/>
        </w:rPr>
        <w:t>onald F Molina Chaves</w:t>
      </w:r>
      <w:r w:rsidRPr="007733AD">
        <w:rPr>
          <w:rFonts w:ascii="Arial"/>
          <w:lang w:val="es-HN"/>
        </w:rPr>
        <w:t xml:space="preserve">, </w:t>
      </w:r>
      <w:proofErr w:type="spellStart"/>
      <w:r w:rsidR="007733AD" w:rsidRPr="007733AD">
        <w:rPr>
          <w:rFonts w:ascii="Arial"/>
          <w:lang w:val="es-HN"/>
        </w:rPr>
        <w:t>BSc</w:t>
      </w:r>
      <w:proofErr w:type="spellEnd"/>
      <w:r w:rsidRPr="007733AD">
        <w:rPr>
          <w:rFonts w:ascii="Arial"/>
          <w:lang w:val="es-HN"/>
        </w:rPr>
        <w:t xml:space="preserve">, </w:t>
      </w:r>
      <w:r w:rsidR="007733AD" w:rsidRPr="007733AD">
        <w:rPr>
          <w:rFonts w:ascii="Arial"/>
          <w:lang w:val="es-HN"/>
        </w:rPr>
        <w:t>Nicaragua</w:t>
      </w:r>
    </w:p>
    <w:p w14:paraId="6C480426" w14:textId="257869E7" w:rsidR="005973B9" w:rsidRDefault="007733AD" w:rsidP="000D4EEA">
      <w:pPr>
        <w:pStyle w:val="BodyText"/>
        <w:spacing w:before="73" w:line="198" w:lineRule="exact"/>
        <w:ind w:left="100" w:right="5987"/>
        <w:rPr>
          <w:rFonts w:ascii="Arial"/>
          <w:lang w:val="es-HN"/>
        </w:rPr>
      </w:pPr>
      <w:r w:rsidRPr="007733AD">
        <w:rPr>
          <w:rFonts w:ascii="Arial"/>
          <w:lang w:val="es-HN"/>
        </w:rPr>
        <w:t xml:space="preserve">Angeles Romano, </w:t>
      </w:r>
      <w:proofErr w:type="spellStart"/>
      <w:r w:rsidRPr="007733AD">
        <w:rPr>
          <w:rFonts w:ascii="Arial"/>
          <w:lang w:val="es-HN"/>
        </w:rPr>
        <w:t>BSc</w:t>
      </w:r>
      <w:proofErr w:type="spellEnd"/>
      <w:r w:rsidRPr="007733AD">
        <w:rPr>
          <w:rFonts w:ascii="Arial"/>
          <w:lang w:val="es-HN"/>
        </w:rPr>
        <w:t>, Nicara</w:t>
      </w:r>
      <w:r>
        <w:rPr>
          <w:rFonts w:ascii="Arial"/>
          <w:lang w:val="es-HN"/>
        </w:rPr>
        <w:t>gua</w:t>
      </w:r>
    </w:p>
    <w:p w14:paraId="5EC27D65" w14:textId="1EEB634D" w:rsidR="007733AD" w:rsidRDefault="007733AD" w:rsidP="005973B9">
      <w:pPr>
        <w:pStyle w:val="BodyText"/>
        <w:spacing w:before="73" w:line="198" w:lineRule="exact"/>
        <w:ind w:left="100" w:right="5987"/>
        <w:rPr>
          <w:rFonts w:ascii="Arial"/>
          <w:lang w:val="es-HN"/>
        </w:rPr>
      </w:pPr>
      <w:r>
        <w:rPr>
          <w:rFonts w:ascii="Arial"/>
          <w:lang w:val="es-HN"/>
        </w:rPr>
        <w:t>Luis F Maldonado, PhD, Honduras</w:t>
      </w:r>
    </w:p>
    <w:p w14:paraId="26FE9A58" w14:textId="0A5F71C1" w:rsidR="000D4EEA" w:rsidRPr="00505A35" w:rsidRDefault="000D4EEA" w:rsidP="000D4EEA">
      <w:pPr>
        <w:pStyle w:val="BodyText"/>
        <w:spacing w:before="73" w:line="198" w:lineRule="exact"/>
        <w:ind w:left="100" w:right="5987"/>
        <w:rPr>
          <w:rFonts w:ascii="Arial"/>
        </w:rPr>
      </w:pPr>
      <w:r w:rsidRPr="00505A35">
        <w:rPr>
          <w:rFonts w:ascii="Arial"/>
        </w:rPr>
        <w:t>Adriana Di Iorio, PhD, Spain</w:t>
      </w:r>
    </w:p>
    <w:p w14:paraId="5EA11C10" w14:textId="6B81D84F" w:rsidR="00AE3E37" w:rsidRPr="00505A35" w:rsidRDefault="00AE3E37">
      <w:pPr>
        <w:pStyle w:val="BodyText"/>
        <w:spacing w:before="3"/>
        <w:rPr>
          <w:rFonts w:ascii="Arial"/>
          <w:sz w:val="21"/>
        </w:rPr>
      </w:pPr>
    </w:p>
    <w:p w14:paraId="65BE868C" w14:textId="77777777" w:rsidR="00AE3E37" w:rsidRPr="00505A35" w:rsidRDefault="00AE3E37">
      <w:pPr>
        <w:rPr>
          <w:rFonts w:ascii="Arial"/>
          <w:sz w:val="21"/>
        </w:rPr>
        <w:sectPr w:rsidR="00AE3E37" w:rsidRPr="00505A35" w:rsidSect="00FC3D8E">
          <w:headerReference w:type="default" r:id="rId7"/>
          <w:footerReference w:type="default" r:id="rId8"/>
          <w:type w:val="continuous"/>
          <w:pgSz w:w="11910" w:h="16840"/>
          <w:pgMar w:top="1740" w:right="600" w:bottom="840" w:left="620" w:header="340" w:footer="642" w:gutter="0"/>
          <w:cols w:space="720"/>
          <w:docGrid w:linePitch="299"/>
        </w:sectPr>
      </w:pPr>
    </w:p>
    <w:p w14:paraId="593CA8E9" w14:textId="07C9333A" w:rsidR="00AE3E37" w:rsidRDefault="00A9710C">
      <w:pPr>
        <w:pStyle w:val="Heading3"/>
        <w:spacing w:before="147"/>
        <w:jc w:val="both"/>
      </w:pPr>
      <w:r>
        <w:rPr>
          <w:color w:val="BF5A14"/>
        </w:rPr>
        <w:t>Abstract</w:t>
      </w:r>
      <w:r w:rsidR="00404E5B">
        <w:rPr>
          <w:color w:val="BF5A14"/>
        </w:rPr>
        <w:t xml:space="preserve"> </w:t>
      </w:r>
    </w:p>
    <w:p w14:paraId="0728DCBF" w14:textId="730F5389" w:rsidR="00AE3E37" w:rsidRDefault="000D4EEA">
      <w:pPr>
        <w:pStyle w:val="BodyText"/>
        <w:spacing w:before="90" w:line="280" w:lineRule="auto"/>
        <w:ind w:left="100"/>
        <w:jc w:val="both"/>
      </w:pPr>
      <w:r>
        <w:t>Central America has had an increase of chronic nontransmissible diseases (NCDs) such as obesity and hypertriglyceridemia. In response to the need of functional foods, a sour tea with mango and betaglucan was prepared. A Completely Randomized Design was used with a factorial arrangement of 2 × 2 × 2, two concentrations of sour tea and mango (50/50 and 75/25), two temperatures (75 and 95 °C) and two times (2 and 5 minutes) of infusion, selecting the treatment with the highest content of total polyphenols (P</w:t>
      </w:r>
      <w:r w:rsidRPr="000D4EEA">
        <w:rPr>
          <w:vertAlign w:val="subscript"/>
        </w:rPr>
        <w:t>2</w:t>
      </w:r>
      <w:r>
        <w:t>T</w:t>
      </w:r>
      <w:r w:rsidRPr="000D4EEA">
        <w:rPr>
          <w:vertAlign w:val="subscript"/>
        </w:rPr>
        <w:t>2</w:t>
      </w:r>
      <w:r>
        <w:t>t</w:t>
      </w:r>
      <w:r w:rsidRPr="000D4EEA">
        <w:rPr>
          <w:vertAlign w:val="subscript"/>
        </w:rPr>
        <w:t>2</w:t>
      </w:r>
      <w:r>
        <w:t xml:space="preserve">). Different treatments were evaluated: sour tea, sour tea with mango and </w:t>
      </w:r>
      <w:r>
        <w:t>high dose of</w:t>
      </w:r>
      <w:r>
        <w:t xml:space="preserve"> betaglucan, and with </w:t>
      </w:r>
      <w:r>
        <w:t xml:space="preserve">low dose of </w:t>
      </w:r>
      <w:r>
        <w:t>betaglucan, associated to normal and controlled diet. Tea intake was evaluated for 28 days, for anthropometrics parameters (weight, height, WHR, BMI, BP, total fat percentage, visceral fat), biochemical (glucose, lipid profile), cardiovascular risk and food intake through a controlled diet. After 28 days of tea intake, a reduction was found in weight (P &lt; 0.009) and WHR (P &lt; 0.024) values in females in T5 treatment. Regarding biochemical analyses, there was significant change in total cholesterol (P &lt; 0.0001), triglycerides (P &lt; 0.003), and HDL (P &lt; 0.003) values in T5 treatment, and cardiovascular risk (P &lt; 0.037) in female sex in T4 treatment. In the alimentary analysis, statistical changes in fat (P &lt; 0.046) and calories intake (P &lt; 0.031) were observed.</w:t>
      </w:r>
      <w:r>
        <w:t xml:space="preserve"> Overall, the treatment with best results was T5.</w:t>
      </w:r>
    </w:p>
    <w:p w14:paraId="78CFDE47" w14:textId="36676CA6" w:rsidR="00FC3D8E" w:rsidRPr="00FC3D8E" w:rsidRDefault="00B20B5E" w:rsidP="00FC3D8E">
      <w:pPr>
        <w:pStyle w:val="Heading3"/>
        <w:spacing w:before="74"/>
        <w:rPr>
          <w:color w:val="BF5A14"/>
        </w:rPr>
      </w:pPr>
      <w:r>
        <w:rPr>
          <w:noProof/>
        </w:rPr>
        <w:drawing>
          <wp:anchor distT="0" distB="0" distL="114300" distR="114300" simplePos="0" relativeHeight="251665920" behindDoc="0" locked="0" layoutInCell="1" allowOverlap="1" wp14:anchorId="0B7F227D" wp14:editId="1DC925F3">
            <wp:simplePos x="0" y="0"/>
            <wp:positionH relativeFrom="column">
              <wp:posOffset>836330</wp:posOffset>
            </wp:positionH>
            <wp:positionV relativeFrom="paragraph">
              <wp:posOffset>1050925</wp:posOffset>
            </wp:positionV>
            <wp:extent cx="751840" cy="7518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1840" cy="751840"/>
                    </a:xfrm>
                    <a:prstGeom prst="rect">
                      <a:avLst/>
                    </a:prstGeom>
                  </pic:spPr>
                </pic:pic>
              </a:graphicData>
            </a:graphic>
            <wp14:sizeRelH relativeFrom="page">
              <wp14:pctWidth>0</wp14:pctWidth>
            </wp14:sizeRelH>
            <wp14:sizeRelV relativeFrom="page">
              <wp14:pctHeight>0</wp14:pctHeight>
            </wp14:sizeRelV>
          </wp:anchor>
        </w:drawing>
      </w:r>
      <w:r>
        <w:rPr>
          <w:noProof/>
          <w:color w:val="BF5A14"/>
        </w:rPr>
        <w:drawing>
          <wp:anchor distT="0" distB="0" distL="114300" distR="114300" simplePos="0" relativeHeight="251662848" behindDoc="0" locked="0" layoutInCell="1" allowOverlap="1" wp14:anchorId="051CCD78" wp14:editId="38BFEE21">
            <wp:simplePos x="0" y="0"/>
            <wp:positionH relativeFrom="margin">
              <wp:align>left</wp:align>
            </wp:positionH>
            <wp:positionV relativeFrom="paragraph">
              <wp:posOffset>1038963</wp:posOffset>
            </wp:positionV>
            <wp:extent cx="841375" cy="761365"/>
            <wp:effectExtent l="0" t="0" r="0" b="635"/>
            <wp:wrapNone/>
            <wp:docPr id="3" name="Picture 3" descr="A picture containing wall, person, clothing,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wall, person, clothing, posing&#10;&#10;Description automatically generated"/>
                    <pic:cNvPicPr/>
                  </pic:nvPicPr>
                  <pic:blipFill rotWithShape="1">
                    <a:blip r:embed="rId10" cstate="print">
                      <a:extLst>
                        <a:ext uri="{28A0092B-C50C-407E-A947-70E740481C1C}">
                          <a14:useLocalDpi xmlns:a14="http://schemas.microsoft.com/office/drawing/2010/main" val="0"/>
                        </a:ext>
                      </a:extLst>
                    </a:blip>
                    <a:srcRect b="23215"/>
                    <a:stretch/>
                  </pic:blipFill>
                  <pic:spPr bwMode="auto">
                    <a:xfrm>
                      <a:off x="0" y="0"/>
                      <a:ext cx="841375" cy="761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7E485B1D" w14:textId="77777777" w:rsidR="00FC3D8E" w:rsidRDefault="00FC3D8E" w:rsidP="00FC3D8E">
      <w:pPr>
        <w:pStyle w:val="BodyText"/>
        <w:keepNext/>
        <w:spacing w:before="2"/>
      </w:pPr>
      <w:r>
        <w:rPr>
          <w:noProof/>
        </w:rPr>
        <w:drawing>
          <wp:inline distT="0" distB="0" distL="0" distR="0" wp14:anchorId="20D7384C" wp14:editId="494BC6F8">
            <wp:extent cx="3333136" cy="165544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55037" cy="1666322"/>
                    </a:xfrm>
                    <a:prstGeom prst="rect">
                      <a:avLst/>
                    </a:prstGeom>
                  </pic:spPr>
                </pic:pic>
              </a:graphicData>
            </a:graphic>
          </wp:inline>
        </w:drawing>
      </w:r>
    </w:p>
    <w:p w14:paraId="0A086883" w14:textId="61AC0E6E" w:rsidR="00AE3E37" w:rsidRDefault="00FC3D8E" w:rsidP="00FC3D8E">
      <w:pPr>
        <w:pStyle w:val="Caption"/>
        <w:rPr>
          <w:rFonts w:ascii="Arial"/>
          <w:b/>
          <w:sz w:val="16"/>
        </w:rPr>
      </w:pPr>
      <w:r>
        <w:t xml:space="preserve">Figure </w:t>
      </w:r>
      <w:fldSimple w:instr=" SEQ Figure \* ARABIC ">
        <w:r>
          <w:rPr>
            <w:noProof/>
          </w:rPr>
          <w:t>1</w:t>
        </w:r>
      </w:fldSimple>
      <w:r>
        <w:t xml:space="preserve"> Visual representation of the treatments evaluated during the study.</w:t>
      </w:r>
    </w:p>
    <w:p w14:paraId="7F9E1605" w14:textId="771ECA58" w:rsidR="005973B9" w:rsidRDefault="005973B9" w:rsidP="005973B9">
      <w:pPr>
        <w:spacing w:line="204" w:lineRule="exact"/>
        <w:rPr>
          <w:rFonts w:ascii="Arial"/>
          <w:b/>
          <w:sz w:val="20"/>
        </w:rPr>
      </w:pPr>
      <w:r>
        <w:rPr>
          <w:rFonts w:ascii="Arial"/>
          <w:b/>
          <w:color w:val="BF5A14"/>
          <w:sz w:val="20"/>
        </w:rPr>
        <w:br/>
        <w:t>Recent Publication</w:t>
      </w:r>
      <w:r w:rsidR="00760EB5">
        <w:rPr>
          <w:rFonts w:ascii="Arial"/>
          <w:b/>
          <w:color w:val="BF5A14"/>
          <w:sz w:val="20"/>
        </w:rPr>
        <w:t>s</w:t>
      </w:r>
    </w:p>
    <w:p w14:paraId="6EBFB300" w14:textId="3A3A93EB" w:rsidR="005973B9" w:rsidRPr="000D4EEA" w:rsidRDefault="000D4EEA" w:rsidP="005973B9">
      <w:pPr>
        <w:pStyle w:val="ListParagraph"/>
        <w:numPr>
          <w:ilvl w:val="0"/>
          <w:numId w:val="3"/>
        </w:numPr>
        <w:tabs>
          <w:tab w:val="left" w:pos="384"/>
        </w:tabs>
        <w:spacing w:before="103" w:line="216" w:lineRule="exact"/>
        <w:ind w:right="138" w:hanging="283"/>
        <w:rPr>
          <w:sz w:val="18"/>
        </w:rPr>
      </w:pPr>
      <w:r w:rsidRPr="000D4EEA">
        <w:rPr>
          <w:sz w:val="18"/>
        </w:rPr>
        <w:t xml:space="preserve">Di Iorio AB, Orozco </w:t>
      </w:r>
      <w:proofErr w:type="spellStart"/>
      <w:r w:rsidRPr="000D4EEA">
        <w:rPr>
          <w:sz w:val="18"/>
        </w:rPr>
        <w:t>Beltrán</w:t>
      </w:r>
      <w:proofErr w:type="spellEnd"/>
      <w:r w:rsidRPr="000D4EEA">
        <w:rPr>
          <w:sz w:val="18"/>
        </w:rPr>
        <w:t xml:space="preserve"> D, Rico JAQ, </w:t>
      </w:r>
      <w:proofErr w:type="spellStart"/>
      <w:r w:rsidRPr="000D4EEA">
        <w:rPr>
          <w:sz w:val="18"/>
        </w:rPr>
        <w:t>Carratalá</w:t>
      </w:r>
      <w:proofErr w:type="spellEnd"/>
      <w:r w:rsidRPr="000D4EEA">
        <w:rPr>
          <w:sz w:val="18"/>
        </w:rPr>
        <w:t xml:space="preserve"> </w:t>
      </w:r>
      <w:proofErr w:type="spellStart"/>
      <w:r w:rsidRPr="000D4EEA">
        <w:rPr>
          <w:sz w:val="18"/>
        </w:rPr>
        <w:t>Munuera</w:t>
      </w:r>
      <w:proofErr w:type="spellEnd"/>
      <w:r w:rsidRPr="000D4EEA">
        <w:rPr>
          <w:sz w:val="18"/>
        </w:rPr>
        <w:t xml:space="preserve"> MC (2020) The Adaptation of the Carbohydrate Count</w:t>
      </w:r>
      <w:r>
        <w:rPr>
          <w:sz w:val="18"/>
        </w:rPr>
        <w:t xml:space="preserve">ing Method Affects HbA1c and Improves Anthropometric Indicators in Patients with Diabetes Mellitus 2. Front. </w:t>
      </w:r>
      <w:proofErr w:type="spellStart"/>
      <w:r>
        <w:rPr>
          <w:sz w:val="18"/>
        </w:rPr>
        <w:t>Nutr</w:t>
      </w:r>
      <w:proofErr w:type="spellEnd"/>
      <w:r>
        <w:rPr>
          <w:sz w:val="18"/>
        </w:rPr>
        <w:t>. 7:577797. Doi: 10.3389/ftnut.2020.577797.</w:t>
      </w:r>
    </w:p>
    <w:p w14:paraId="4B430A80" w14:textId="744BD034" w:rsidR="005973B9" w:rsidRPr="00FC3D8E" w:rsidRDefault="00FC3D8E" w:rsidP="00FC3D8E">
      <w:pPr>
        <w:pStyle w:val="ListParagraph"/>
        <w:numPr>
          <w:ilvl w:val="0"/>
          <w:numId w:val="3"/>
        </w:numPr>
        <w:tabs>
          <w:tab w:val="left" w:pos="384"/>
        </w:tabs>
        <w:spacing w:line="216" w:lineRule="exact"/>
        <w:ind w:right="137"/>
        <w:rPr>
          <w:sz w:val="18"/>
        </w:rPr>
      </w:pPr>
      <w:r w:rsidRPr="00FC3D8E">
        <w:rPr>
          <w:sz w:val="18"/>
        </w:rPr>
        <w:t>Evaluation of the Nutritional Quality of Processed Foods in Honduras: Comparison</w:t>
      </w:r>
      <w:r>
        <w:rPr>
          <w:sz w:val="18"/>
        </w:rPr>
        <w:t xml:space="preserve"> </w:t>
      </w:r>
      <w:r w:rsidRPr="00FC3D8E">
        <w:rPr>
          <w:sz w:val="18"/>
        </w:rPr>
        <w:t>of Three Nutrient Profiles https://doi.org/10.3390/ijerph17197060</w:t>
      </w:r>
      <w:r>
        <w:rPr>
          <w:sz w:val="18"/>
        </w:rPr>
        <w:t>.</w:t>
      </w:r>
    </w:p>
    <w:p w14:paraId="0F33B07F" w14:textId="77777777" w:rsidR="00FC3D8E" w:rsidRDefault="00FC3D8E" w:rsidP="00FC3D8E">
      <w:pPr>
        <w:pStyle w:val="ListParagraph"/>
        <w:numPr>
          <w:ilvl w:val="0"/>
          <w:numId w:val="3"/>
        </w:numPr>
        <w:tabs>
          <w:tab w:val="left" w:pos="384"/>
        </w:tabs>
        <w:spacing w:before="92" w:line="218" w:lineRule="exact"/>
        <w:rPr>
          <w:sz w:val="18"/>
        </w:rPr>
      </w:pPr>
      <w:r w:rsidRPr="00FC3D8E">
        <w:rPr>
          <w:sz w:val="18"/>
        </w:rPr>
        <w:t>Nutrient Assessment and Potential Renal Load of Solutes in Infant Powder</w:t>
      </w:r>
      <w:r>
        <w:rPr>
          <w:sz w:val="18"/>
        </w:rPr>
        <w:t xml:space="preserve"> </w:t>
      </w:r>
      <w:r w:rsidRPr="00FC3D8E">
        <w:rPr>
          <w:sz w:val="18"/>
        </w:rPr>
        <w:t>Formulas Available on the Honduran Market (ISSN:2582-1423)</w:t>
      </w:r>
    </w:p>
    <w:p w14:paraId="0B5D326F" w14:textId="298C876A" w:rsidR="005973B9" w:rsidRPr="00FC3D8E" w:rsidRDefault="00FC3D8E" w:rsidP="00FC3D8E">
      <w:pPr>
        <w:pStyle w:val="ListParagraph"/>
        <w:numPr>
          <w:ilvl w:val="0"/>
          <w:numId w:val="3"/>
        </w:numPr>
        <w:tabs>
          <w:tab w:val="left" w:pos="384"/>
        </w:tabs>
        <w:spacing w:before="92" w:line="218" w:lineRule="exact"/>
        <w:rPr>
          <w:sz w:val="18"/>
        </w:rPr>
      </w:pPr>
      <w:r w:rsidRPr="00FC3D8E">
        <w:rPr>
          <w:sz w:val="18"/>
        </w:rPr>
        <w:t>Development and Evaluation of an Infusion of Red Tea (Camellia sinensis) with</w:t>
      </w:r>
      <w:r w:rsidRPr="00FC3D8E">
        <w:rPr>
          <w:sz w:val="18"/>
        </w:rPr>
        <w:t xml:space="preserve"> </w:t>
      </w:r>
      <w:r w:rsidRPr="00FC3D8E">
        <w:rPr>
          <w:sz w:val="18"/>
        </w:rPr>
        <w:t>Blackberry (Rubus ulmifolius) Enriched with β</w:t>
      </w:r>
      <w:r w:rsidRPr="00FC3D8E">
        <w:rPr>
          <w:sz w:val="18"/>
        </w:rPr>
        <w:t xml:space="preserve"> </w:t>
      </w:r>
      <w:r w:rsidRPr="00FC3D8E">
        <w:rPr>
          <w:sz w:val="18"/>
        </w:rPr>
        <w:t>Glucans for the Control Glycemia</w:t>
      </w:r>
      <w:r w:rsidRPr="00FC3D8E">
        <w:rPr>
          <w:sz w:val="18"/>
        </w:rPr>
        <w:t xml:space="preserve"> </w:t>
      </w:r>
      <w:r w:rsidRPr="00FC3D8E">
        <w:rPr>
          <w:sz w:val="18"/>
        </w:rPr>
        <w:t>in Diabetic Persons (ISSN:2582-1423)</w:t>
      </w:r>
    </w:p>
    <w:p w14:paraId="11647098" w14:textId="46E66549" w:rsidR="005973B9" w:rsidRPr="00FC3D8E" w:rsidRDefault="005973B9" w:rsidP="00FC3D8E">
      <w:pPr>
        <w:pStyle w:val="BodyText"/>
        <w:spacing w:before="85" w:line="216" w:lineRule="exact"/>
        <w:ind w:left="383" w:right="138" w:hanging="284"/>
        <w:jc w:val="both"/>
        <w:rPr>
          <w:rFonts w:ascii="Calibri" w:hAnsi="Calibri"/>
          <w:lang w:val="es-HN"/>
        </w:rPr>
      </w:pPr>
      <w:r w:rsidRPr="00FC3D8E">
        <w:rPr>
          <w:rFonts w:ascii="Calibri" w:hAnsi="Calibri"/>
          <w:lang w:val="es-HN"/>
        </w:rPr>
        <w:t xml:space="preserve">5. </w:t>
      </w:r>
      <w:r w:rsidR="00FC3D8E" w:rsidRPr="00FC3D8E">
        <w:rPr>
          <w:rFonts w:ascii="Calibri" w:hAnsi="Calibri"/>
          <w:lang w:val="es-HN"/>
        </w:rPr>
        <w:t xml:space="preserve">Agua de coco Fermentado por Lactobacillus </w:t>
      </w:r>
      <w:proofErr w:type="spellStart"/>
      <w:r w:rsidR="00FC3D8E" w:rsidRPr="00FC3D8E">
        <w:rPr>
          <w:rFonts w:ascii="Calibri" w:hAnsi="Calibri"/>
          <w:lang w:val="es-HN"/>
        </w:rPr>
        <w:t>plantarum</w:t>
      </w:r>
      <w:proofErr w:type="spellEnd"/>
      <w:r w:rsidR="00FC3D8E">
        <w:rPr>
          <w:rFonts w:ascii="Calibri" w:hAnsi="Calibri"/>
          <w:lang w:val="es-HN"/>
        </w:rPr>
        <w:t xml:space="preserve"> </w:t>
      </w:r>
      <w:r w:rsidR="00FC3D8E" w:rsidRPr="00FC3D8E">
        <w:rPr>
          <w:rFonts w:ascii="Calibri" w:hAnsi="Calibri"/>
          <w:lang w:val="es-HN"/>
        </w:rPr>
        <w:t xml:space="preserve">con </w:t>
      </w:r>
      <w:r w:rsidR="00FC3D8E">
        <w:rPr>
          <w:rFonts w:ascii="Calibri" w:hAnsi="Calibri"/>
          <w:lang w:val="es-HN"/>
        </w:rPr>
        <w:t>a</w:t>
      </w:r>
      <w:r w:rsidR="00FC3D8E" w:rsidRPr="00FC3D8E">
        <w:rPr>
          <w:rFonts w:ascii="Calibri" w:hAnsi="Calibri"/>
          <w:lang w:val="es-HN"/>
        </w:rPr>
        <w:t>dición</w:t>
      </w:r>
      <w:r w:rsidR="00FC3D8E">
        <w:rPr>
          <w:rFonts w:ascii="Calibri" w:hAnsi="Calibri"/>
          <w:lang w:val="es-HN"/>
        </w:rPr>
        <w:t xml:space="preserve"> </w:t>
      </w:r>
      <w:r w:rsidR="00FC3D8E" w:rsidRPr="00FC3D8E">
        <w:rPr>
          <w:rFonts w:ascii="Calibri" w:hAnsi="Calibri"/>
          <w:lang w:val="es-HN"/>
        </w:rPr>
        <w:t>de inulina:</w:t>
      </w:r>
      <w:r w:rsidR="00FC3D8E">
        <w:rPr>
          <w:rFonts w:ascii="Calibri" w:hAnsi="Calibri"/>
          <w:lang w:val="es-HN"/>
        </w:rPr>
        <w:t xml:space="preserve"> </w:t>
      </w:r>
      <w:r w:rsidR="00FC3D8E" w:rsidRPr="00FC3D8E">
        <w:rPr>
          <w:rFonts w:ascii="Calibri" w:hAnsi="Calibri"/>
          <w:lang w:val="es-HN"/>
        </w:rPr>
        <w:t>Desarrollo de una bebida potencialmente simbiótica (ISSN 2525-8761)</w:t>
      </w:r>
      <w:r w:rsidRPr="00FC3D8E">
        <w:rPr>
          <w:rFonts w:ascii="Calibri" w:hAnsi="Calibri"/>
          <w:lang w:val="es-HN"/>
        </w:rPr>
        <w:t>.</w:t>
      </w:r>
    </w:p>
    <w:p w14:paraId="19344607" w14:textId="31FC233D" w:rsidR="00AE3E37" w:rsidRPr="00FC3D8E" w:rsidRDefault="00AE3E37">
      <w:pPr>
        <w:spacing w:line="200" w:lineRule="exact"/>
        <w:jc w:val="both"/>
        <w:rPr>
          <w:rFonts w:ascii="Calibri" w:hAnsi="Calibri"/>
          <w:lang w:val="es-HN"/>
        </w:rPr>
        <w:sectPr w:rsidR="00AE3E37" w:rsidRPr="00FC3D8E">
          <w:type w:val="continuous"/>
          <w:pgSz w:w="11910" w:h="16840"/>
          <w:pgMar w:top="1740" w:right="600" w:bottom="840" w:left="620" w:header="720" w:footer="720" w:gutter="0"/>
          <w:cols w:num="2" w:space="720" w:equalWidth="0">
            <w:col w:w="5214" w:space="138"/>
            <w:col w:w="5338"/>
          </w:cols>
        </w:sectPr>
      </w:pPr>
    </w:p>
    <w:p w14:paraId="056F4972" w14:textId="10AC7F5B" w:rsidR="00AE3E37" w:rsidRPr="00FC3D8E" w:rsidRDefault="00AE3E37">
      <w:pPr>
        <w:pStyle w:val="BodyText"/>
        <w:rPr>
          <w:rFonts w:ascii="Calibri"/>
          <w:sz w:val="20"/>
          <w:lang w:val="es-HN"/>
        </w:rPr>
      </w:pPr>
    </w:p>
    <w:p w14:paraId="19615828" w14:textId="4162A8D6"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1E5866D" wp14:editId="4D62DB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368D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67FC3C8" w14:textId="6D1E2245" w:rsidR="00AE3E37" w:rsidRDefault="008756E6" w:rsidP="00404E5B">
      <w:pPr>
        <w:spacing w:before="92"/>
        <w:ind w:right="4234"/>
        <w:rPr>
          <w:rFonts w:ascii="Arial"/>
        </w:rPr>
      </w:pPr>
      <w:r>
        <w:rPr>
          <w:noProof/>
        </w:rPr>
        <w:t xml:space="preserve">   </w:t>
      </w:r>
      <w:r w:rsidR="00A9710C">
        <w:rPr>
          <w:rFonts w:ascii="Arial"/>
          <w:color w:val="BF5A14"/>
        </w:rPr>
        <w:t>Biography</w:t>
      </w:r>
    </w:p>
    <w:p w14:paraId="2E86B3E9" w14:textId="0B19524F" w:rsidR="00AE3E37" w:rsidRDefault="00760EB5">
      <w:pPr>
        <w:spacing w:before="41" w:line="154" w:lineRule="exact"/>
        <w:ind w:left="213" w:right="231"/>
        <w:jc w:val="both"/>
        <w:rPr>
          <w:rFonts w:ascii="Arial"/>
          <w:sz w:val="14"/>
        </w:rPr>
      </w:pPr>
      <w:r>
        <w:rPr>
          <w:rFonts w:ascii="Arial"/>
          <w:sz w:val="14"/>
        </w:rPr>
        <w:t>Adriana Di Iorio</w:t>
      </w:r>
      <w:r w:rsidR="00A9710C">
        <w:rPr>
          <w:rFonts w:ascii="Arial"/>
          <w:sz w:val="14"/>
        </w:rPr>
        <w:t xml:space="preserve"> has her expertise in </w:t>
      </w:r>
      <w:r>
        <w:rPr>
          <w:rFonts w:ascii="Arial"/>
          <w:sz w:val="14"/>
        </w:rPr>
        <w:t>clinical nutrition, specialized in gastrointestinal, hepatic, and metabolic pathologies using different methodologies</w:t>
      </w:r>
      <w:r w:rsidR="00A9710C">
        <w:rPr>
          <w:rFonts w:ascii="Arial"/>
          <w:sz w:val="14"/>
        </w:rPr>
        <w:t>.</w:t>
      </w:r>
      <w:r>
        <w:rPr>
          <w:rFonts w:ascii="Arial"/>
          <w:sz w:val="14"/>
        </w:rPr>
        <w:t xml:space="preserve"> She has worked in projects associated to fortified foods, functional foods in the treatment of chronic nontransmissible diseases, and nutrient profile evaluation of processed and ultra-processed foods</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Pr>
          <w:rFonts w:ascii="Arial"/>
          <w:sz w:val="14"/>
        </w:rPr>
        <w:t xml:space="preserve"> and</w:t>
      </w:r>
      <w:r w:rsidR="000E2911">
        <w:rPr>
          <w:rFonts w:ascii="Arial"/>
          <w:sz w:val="14"/>
        </w:rPr>
        <w:t xml:space="preserve"> </w:t>
      </w:r>
      <w:r w:rsidR="00A9710C">
        <w:rPr>
          <w:rFonts w:ascii="Arial"/>
          <w:sz w:val="14"/>
        </w:rPr>
        <w:t>teaching</w:t>
      </w:r>
      <w:r>
        <w:rPr>
          <w:rFonts w:ascii="Arial"/>
          <w:sz w:val="14"/>
        </w:rPr>
        <w:t xml:space="preserve"> </w:t>
      </w:r>
      <w:r w:rsidR="00A9710C">
        <w:rPr>
          <w:rFonts w:ascii="Arial"/>
          <w:sz w:val="14"/>
        </w:rPr>
        <w:t>both in hospital and education institutions</w:t>
      </w:r>
      <w:r>
        <w:rPr>
          <w:rFonts w:ascii="Arial"/>
          <w:sz w:val="14"/>
        </w:rPr>
        <w:t>.</w:t>
      </w:r>
    </w:p>
    <w:p w14:paraId="6577487C" w14:textId="4BDC2CBD" w:rsidR="00760EB5" w:rsidRDefault="00760EB5">
      <w:pPr>
        <w:spacing w:before="41" w:line="154" w:lineRule="exact"/>
        <w:ind w:left="213" w:right="231"/>
        <w:jc w:val="both"/>
        <w:rPr>
          <w:rFonts w:ascii="Arial"/>
          <w:sz w:val="14"/>
        </w:rPr>
      </w:pPr>
      <w:r>
        <w:rPr>
          <w:rFonts w:ascii="Arial"/>
          <w:sz w:val="14"/>
        </w:rPr>
        <w:t>Donald Molina has a bachelor</w:t>
      </w:r>
      <w:r>
        <w:rPr>
          <w:rFonts w:ascii="Arial"/>
          <w:sz w:val="14"/>
        </w:rPr>
        <w:t>’</w:t>
      </w:r>
      <w:r>
        <w:rPr>
          <w:rFonts w:ascii="Arial"/>
          <w:sz w:val="14"/>
        </w:rPr>
        <w:t>s degree in food science and Technology. He has his expertise in food chemistry, food analysis and human nutrition. He has worked in projects associated to tomato processing and chemical and nutritional changes during manufacturing, and evaluation of the effect of functional foods in anthropometrical and biochemical parameters in obese patients.</w:t>
      </w:r>
    </w:p>
    <w:p w14:paraId="0A4B2B88" w14:textId="77777777" w:rsidR="00760EB5" w:rsidRDefault="00760EB5">
      <w:pPr>
        <w:spacing w:before="41" w:line="154" w:lineRule="exact"/>
        <w:ind w:left="213" w:right="231"/>
        <w:jc w:val="both"/>
        <w:rPr>
          <w:rFonts w:ascii="Arial"/>
          <w:sz w:val="14"/>
        </w:rPr>
      </w:pPr>
    </w:p>
    <w:p w14:paraId="00B0CCD6" w14:textId="2C821D95"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760EB5" w:rsidRPr="00DB0429">
          <w:rPr>
            <w:rStyle w:val="Hyperlink"/>
            <w:rFonts w:ascii="Arial"/>
            <w:sz w:val="14"/>
          </w:rPr>
          <w:t>adrianadiiorio@gmail.com</w:t>
        </w:r>
      </w:hyperlink>
    </w:p>
    <w:p w14:paraId="43CF54AF" w14:textId="28F771E0" w:rsidR="00760EB5" w:rsidRDefault="00760EB5" w:rsidP="00760EB5">
      <w:pPr>
        <w:spacing w:before="62"/>
        <w:ind w:left="4320" w:right="4235"/>
        <w:jc w:val="center"/>
        <w:rPr>
          <w:rFonts w:ascii="Arial"/>
          <w:sz w:val="14"/>
        </w:rPr>
      </w:pPr>
      <w:r>
        <w:rPr>
          <w:rStyle w:val="Hyperlink"/>
          <w:rFonts w:ascii="Arial"/>
          <w:sz w:val="14"/>
        </w:rPr>
        <w:t>donaldmch298@gmail.com</w:t>
      </w:r>
    </w:p>
    <w:p w14:paraId="19AEE36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1584" behindDoc="0" locked="0" layoutInCell="1" allowOverlap="1" wp14:anchorId="03AAE985" wp14:editId="4ECD478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9B27C" id="Line 3"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911B3B0" w14:textId="77777777" w:rsidR="00AE3E37" w:rsidRDefault="00AE3E37">
      <w:pPr>
        <w:pStyle w:val="BodyText"/>
        <w:spacing w:before="7"/>
        <w:rPr>
          <w:rFonts w:ascii="Arial"/>
          <w:sz w:val="29"/>
        </w:rPr>
      </w:pPr>
    </w:p>
    <w:p w14:paraId="146C0C51" w14:textId="238A1446" w:rsidR="00AE3E37" w:rsidRPr="00FC3D8E" w:rsidRDefault="00A9710C" w:rsidP="00FC3D8E">
      <w:pPr>
        <w:spacing w:before="39"/>
        <w:ind w:left="100"/>
        <w:rPr>
          <w:rFonts w:ascii="Minion Pro"/>
          <w:b/>
          <w:sz w:val="20"/>
        </w:rPr>
        <w:sectPr w:rsidR="00AE3E37" w:rsidRPr="00FC3D8E">
          <w:type w:val="continuous"/>
          <w:pgSz w:w="11910" w:h="16840"/>
          <w:pgMar w:top="1740" w:right="600" w:bottom="840" w:left="620" w:header="720" w:footer="720" w:gutter="0"/>
          <w:cols w:space="720"/>
        </w:sectPr>
      </w:pPr>
      <w:r w:rsidRPr="00B21A57">
        <w:rPr>
          <w:rFonts w:ascii="Minion Pro"/>
          <w:b/>
          <w:sz w:val="20"/>
        </w:rPr>
        <w:t>Notes/Comments</w:t>
      </w:r>
      <w:r w:rsidR="00FC3D8E">
        <w:rPr>
          <w:rFonts w:ascii="Minion Pro"/>
          <w:b/>
          <w:sz w:val="20"/>
        </w:rPr>
        <w:t>:</w:t>
      </w:r>
    </w:p>
    <w:p w14:paraId="1021463C" w14:textId="4ACDBDA9"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2DABD" w14:textId="77777777" w:rsidR="00B45393" w:rsidRDefault="00B45393">
      <w:r>
        <w:separator/>
      </w:r>
    </w:p>
  </w:endnote>
  <w:endnote w:type="continuationSeparator" w:id="0">
    <w:p w14:paraId="53F8BF85" w14:textId="77777777" w:rsidR="00B45393" w:rsidRDefault="00B4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C5C7E" w14:textId="72C370FE"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3E011B43" wp14:editId="4ED2AA4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621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B382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11B43"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573621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B382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7D0F7D1F" wp14:editId="564005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BFD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9EA0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F7D1F" id="Text Box 1" o:spid="_x0000_s1027"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292BFD3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9EA0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5053A" w14:textId="77777777" w:rsidR="00B45393" w:rsidRDefault="00B45393">
      <w:r>
        <w:separator/>
      </w:r>
    </w:p>
  </w:footnote>
  <w:footnote w:type="continuationSeparator" w:id="0">
    <w:p w14:paraId="1F3EF2EF" w14:textId="77777777" w:rsidR="00B45393" w:rsidRDefault="00B45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1818C" w14:textId="513162FA"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4EEA"/>
    <w:rsid w:val="000E2911"/>
    <w:rsid w:val="001263DF"/>
    <w:rsid w:val="002455EC"/>
    <w:rsid w:val="00292ED9"/>
    <w:rsid w:val="00404E5B"/>
    <w:rsid w:val="00414F7B"/>
    <w:rsid w:val="004355DC"/>
    <w:rsid w:val="004749B4"/>
    <w:rsid w:val="00494130"/>
    <w:rsid w:val="004F3523"/>
    <w:rsid w:val="00505A35"/>
    <w:rsid w:val="005973B9"/>
    <w:rsid w:val="005B3A56"/>
    <w:rsid w:val="006060CE"/>
    <w:rsid w:val="0063497F"/>
    <w:rsid w:val="00760EB5"/>
    <w:rsid w:val="007733AD"/>
    <w:rsid w:val="00873DF0"/>
    <w:rsid w:val="008756E6"/>
    <w:rsid w:val="0089463A"/>
    <w:rsid w:val="008A08B6"/>
    <w:rsid w:val="009B2D44"/>
    <w:rsid w:val="00A07E82"/>
    <w:rsid w:val="00A9710C"/>
    <w:rsid w:val="00AE3E37"/>
    <w:rsid w:val="00B20B5E"/>
    <w:rsid w:val="00B21A57"/>
    <w:rsid w:val="00B45393"/>
    <w:rsid w:val="00C33602"/>
    <w:rsid w:val="00CD6F55"/>
    <w:rsid w:val="00DE3104"/>
    <w:rsid w:val="00E26B10"/>
    <w:rsid w:val="00F255B4"/>
    <w:rsid w:val="00F72EEA"/>
    <w:rsid w:val="00F84CAE"/>
    <w:rsid w:val="00FC3D8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83F79"/>
  <w15:docId w15:val="{E4E8164E-17BE-4D3D-8655-69B8D423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FC3D8E"/>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760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drianadiior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575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Donald Francisco Molina Chaves (19056)</cp:lastModifiedBy>
  <cp:revision>3</cp:revision>
  <dcterms:created xsi:type="dcterms:W3CDTF">2020-12-15T16:03:00Z</dcterms:created>
  <dcterms:modified xsi:type="dcterms:W3CDTF">2020-12-15T16:05:00Z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