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83A" w:rsidRPr="00622C05" w:rsidRDefault="00135604" w:rsidP="002514C5">
      <w:pPr>
        <w:spacing w:after="0" w:line="240" w:lineRule="auto"/>
        <w:rPr>
          <w:rFonts w:ascii="Tw Cen MT" w:hAnsi="Tw Cen MT"/>
          <w:b/>
          <w:color w:val="4F81BD" w:themeColor="accent1"/>
          <w:sz w:val="20"/>
          <w:szCs w:val="20"/>
        </w:rPr>
        <w:sectPr w:rsidR="006A783A" w:rsidRPr="00622C05" w:rsidSect="009931F8">
          <w:pgSz w:w="12240" w:h="15840"/>
          <w:pgMar w:top="1440" w:right="1440" w:bottom="1440" w:left="618" w:header="720" w:footer="720" w:gutter="0"/>
          <w:cols w:space="720"/>
          <w:docGrid w:linePitch="360"/>
        </w:sectPr>
      </w:pPr>
      <w:r w:rsidRPr="00135604">
        <w:rPr>
          <w:rFonts w:asciiTheme="majorHAnsi" w:hAnsiTheme="majorHAnsi"/>
          <w:b/>
          <w:color w:val="4F81BD" w:themeColor="accent1"/>
          <w:sz w:val="32"/>
          <w:szCs w:val="32"/>
        </w:rPr>
        <w:t>What will it take to reach tribal Indian women with nutrition specific and nutrition sensitive interventions?</w:t>
      </w:r>
    </w:p>
    <w:p w:rsidR="006A783A" w:rsidRDefault="006A783A" w:rsidP="002514C5">
      <w:pPr>
        <w:spacing w:after="0" w:line="240" w:lineRule="auto"/>
        <w:rPr>
          <w:rFonts w:ascii="Tw Cen MT" w:hAnsi="Tw Cen MT"/>
          <w:b/>
          <w:sz w:val="20"/>
          <w:szCs w:val="20"/>
        </w:rPr>
      </w:pPr>
    </w:p>
    <w:p w:rsidR="001F5195" w:rsidRPr="00EC47F8" w:rsidRDefault="001F5195" w:rsidP="001F5195">
      <w:pPr>
        <w:spacing w:after="0" w:line="240" w:lineRule="auto"/>
        <w:jc w:val="both"/>
        <w:rPr>
          <w:rFonts w:ascii="Arial" w:hAnsi="Arial" w:cs="Arial"/>
          <w:sz w:val="18"/>
          <w:szCs w:val="18"/>
        </w:rPr>
      </w:pPr>
      <w:r w:rsidRPr="00EC47F8">
        <w:rPr>
          <w:rFonts w:ascii="Arial" w:hAnsi="Arial" w:cs="Arial"/>
          <w:sz w:val="18"/>
          <w:szCs w:val="18"/>
        </w:rPr>
        <w:t xml:space="preserve">Vani Sethi, PhD, </w:t>
      </w:r>
      <w:r w:rsidR="00EC47F8" w:rsidRPr="00EC47F8">
        <w:rPr>
          <w:rFonts w:ascii="Arial" w:hAnsi="Arial" w:cs="Arial"/>
          <w:sz w:val="18"/>
          <w:szCs w:val="18"/>
        </w:rPr>
        <w:t>Child development and nutrition section, UNICEF India Country Office</w:t>
      </w:r>
    </w:p>
    <w:p w:rsidR="004D5422" w:rsidRPr="00EC47F8" w:rsidRDefault="004D5422" w:rsidP="001F5195">
      <w:pPr>
        <w:spacing w:after="0" w:line="240" w:lineRule="auto"/>
        <w:jc w:val="both"/>
        <w:rPr>
          <w:rFonts w:ascii="Arial" w:hAnsi="Arial" w:cs="Arial"/>
          <w:sz w:val="18"/>
          <w:szCs w:val="18"/>
        </w:rPr>
      </w:pPr>
      <w:r w:rsidRPr="00EC47F8">
        <w:rPr>
          <w:rFonts w:ascii="Arial" w:hAnsi="Arial" w:cs="Arial"/>
          <w:sz w:val="18"/>
          <w:szCs w:val="18"/>
        </w:rPr>
        <w:t>Arti Bhanot</w:t>
      </w:r>
      <w:r w:rsidR="00EC47F8" w:rsidRPr="00EC47F8">
        <w:rPr>
          <w:rFonts w:ascii="Arial" w:hAnsi="Arial" w:cs="Arial"/>
          <w:sz w:val="18"/>
          <w:szCs w:val="18"/>
        </w:rPr>
        <w:t>, PhD,</w:t>
      </w:r>
      <w:r w:rsidR="00EC47F8" w:rsidRPr="00EC47F8">
        <w:rPr>
          <w:sz w:val="18"/>
          <w:szCs w:val="18"/>
        </w:rPr>
        <w:t xml:space="preserve"> </w:t>
      </w:r>
      <w:r w:rsidR="00EC47F8" w:rsidRPr="00EC47F8">
        <w:rPr>
          <w:rFonts w:ascii="Arial" w:hAnsi="Arial" w:cs="Arial"/>
          <w:sz w:val="18"/>
          <w:szCs w:val="18"/>
        </w:rPr>
        <w:t>Population and Human Health, New Delhi, India</w:t>
      </w:r>
    </w:p>
    <w:p w:rsidR="004D5422" w:rsidRPr="00EC47F8" w:rsidRDefault="004D5422" w:rsidP="001F5195">
      <w:pPr>
        <w:spacing w:after="0" w:line="240" w:lineRule="auto"/>
        <w:jc w:val="both"/>
        <w:rPr>
          <w:rFonts w:ascii="Arial" w:hAnsi="Arial" w:cs="Arial"/>
          <w:sz w:val="18"/>
          <w:szCs w:val="18"/>
        </w:rPr>
      </w:pPr>
      <w:proofErr w:type="spellStart"/>
      <w:r w:rsidRPr="00EC47F8">
        <w:rPr>
          <w:rFonts w:ascii="Arial" w:hAnsi="Arial" w:cs="Arial"/>
          <w:sz w:val="18"/>
          <w:szCs w:val="18"/>
        </w:rPr>
        <w:t>Sourav</w:t>
      </w:r>
      <w:proofErr w:type="spellEnd"/>
      <w:r w:rsidRPr="00EC47F8">
        <w:rPr>
          <w:rFonts w:ascii="Arial" w:hAnsi="Arial" w:cs="Arial"/>
          <w:sz w:val="18"/>
          <w:szCs w:val="18"/>
        </w:rPr>
        <w:t xml:space="preserve"> </w:t>
      </w:r>
      <w:proofErr w:type="spellStart"/>
      <w:r w:rsidRPr="00EC47F8">
        <w:rPr>
          <w:rFonts w:ascii="Arial" w:hAnsi="Arial" w:cs="Arial"/>
          <w:sz w:val="18"/>
          <w:szCs w:val="18"/>
        </w:rPr>
        <w:t>Bhattacharjee</w:t>
      </w:r>
      <w:proofErr w:type="spellEnd"/>
      <w:r w:rsidR="00EC47F8" w:rsidRPr="00EC47F8">
        <w:rPr>
          <w:rFonts w:ascii="Arial" w:hAnsi="Arial" w:cs="Arial"/>
          <w:sz w:val="18"/>
          <w:szCs w:val="18"/>
        </w:rPr>
        <w:t xml:space="preserve">, PhD, Child development and nutrition section, UNICEF </w:t>
      </w:r>
      <w:proofErr w:type="spellStart"/>
      <w:r w:rsidR="00EC47F8" w:rsidRPr="00EC47F8">
        <w:rPr>
          <w:rFonts w:ascii="Arial" w:hAnsi="Arial" w:cs="Arial"/>
          <w:sz w:val="18"/>
          <w:szCs w:val="18"/>
        </w:rPr>
        <w:t>Bhubaneshwar</w:t>
      </w:r>
      <w:proofErr w:type="spellEnd"/>
      <w:r w:rsidR="00EC47F8" w:rsidRPr="00EC47F8">
        <w:rPr>
          <w:rFonts w:ascii="Arial" w:hAnsi="Arial" w:cs="Arial"/>
          <w:sz w:val="18"/>
          <w:szCs w:val="18"/>
        </w:rPr>
        <w:t xml:space="preserve"> Field Office, Odisha, India</w:t>
      </w:r>
    </w:p>
    <w:p w:rsidR="004D5422" w:rsidRPr="00EC47F8" w:rsidRDefault="004D5422" w:rsidP="001F5195">
      <w:pPr>
        <w:spacing w:after="0" w:line="240" w:lineRule="auto"/>
        <w:jc w:val="both"/>
        <w:rPr>
          <w:rFonts w:ascii="Arial" w:hAnsi="Arial" w:cs="Arial"/>
          <w:sz w:val="18"/>
          <w:szCs w:val="18"/>
        </w:rPr>
      </w:pPr>
      <w:proofErr w:type="spellStart"/>
      <w:r w:rsidRPr="00EC47F8">
        <w:rPr>
          <w:rFonts w:ascii="Arial" w:hAnsi="Arial" w:cs="Arial"/>
          <w:sz w:val="18"/>
          <w:szCs w:val="18"/>
        </w:rPr>
        <w:t>Abner</w:t>
      </w:r>
      <w:proofErr w:type="spellEnd"/>
      <w:r w:rsidRPr="00EC47F8">
        <w:rPr>
          <w:rFonts w:ascii="Arial" w:hAnsi="Arial" w:cs="Arial"/>
          <w:sz w:val="18"/>
          <w:szCs w:val="18"/>
        </w:rPr>
        <w:t xml:space="preserve"> Daniel</w:t>
      </w:r>
      <w:r w:rsidR="00EC47F8" w:rsidRPr="00EC47F8">
        <w:rPr>
          <w:rFonts w:ascii="Arial" w:hAnsi="Arial" w:cs="Arial"/>
          <w:sz w:val="18"/>
          <w:szCs w:val="18"/>
        </w:rPr>
        <w:t>, PhD, Child development and nutrition section, UNICEF Bhopal Field Office, Madhya Pradesh, India</w:t>
      </w:r>
    </w:p>
    <w:p w:rsidR="004D5422" w:rsidRPr="00EC47F8" w:rsidRDefault="004D5422" w:rsidP="001F5195">
      <w:pPr>
        <w:spacing w:after="0" w:line="240" w:lineRule="auto"/>
        <w:jc w:val="both"/>
        <w:rPr>
          <w:rFonts w:ascii="Arial" w:hAnsi="Arial" w:cs="Arial"/>
          <w:sz w:val="18"/>
          <w:szCs w:val="18"/>
        </w:rPr>
      </w:pPr>
      <w:r w:rsidRPr="00EC47F8">
        <w:rPr>
          <w:rFonts w:ascii="Arial" w:hAnsi="Arial" w:cs="Arial"/>
          <w:sz w:val="18"/>
          <w:szCs w:val="18"/>
        </w:rPr>
        <w:t>Deepika Sharma</w:t>
      </w:r>
      <w:r w:rsidR="00EC47F8" w:rsidRPr="00EC47F8">
        <w:rPr>
          <w:rFonts w:ascii="Arial" w:hAnsi="Arial" w:cs="Arial"/>
          <w:sz w:val="18"/>
          <w:szCs w:val="18"/>
        </w:rPr>
        <w:t>, PhD, Child development and nutrition section, UNICEF Bhopal Field Office, Madhya Pradesh, India</w:t>
      </w:r>
    </w:p>
    <w:p w:rsidR="001F5195" w:rsidRPr="00EC47F8" w:rsidRDefault="001F5195" w:rsidP="001F5195">
      <w:pPr>
        <w:spacing w:after="0" w:line="240" w:lineRule="auto"/>
        <w:jc w:val="both"/>
        <w:rPr>
          <w:rFonts w:ascii="Arial" w:hAnsi="Arial" w:cs="Arial"/>
          <w:sz w:val="18"/>
          <w:szCs w:val="18"/>
        </w:rPr>
      </w:pPr>
      <w:r w:rsidRPr="00EC47F8">
        <w:rPr>
          <w:rFonts w:ascii="Arial" w:hAnsi="Arial" w:cs="Arial"/>
          <w:sz w:val="18"/>
          <w:szCs w:val="18"/>
        </w:rPr>
        <w:t>Sutapa Agrawal, MPS, PhD, Public Health Foundation of India, New Delhi, INDIA</w:t>
      </w:r>
    </w:p>
    <w:p w:rsidR="001F5195" w:rsidRPr="00B624D9" w:rsidRDefault="001F5195" w:rsidP="001F5195">
      <w:pPr>
        <w:spacing w:after="0" w:line="240" w:lineRule="auto"/>
        <w:rPr>
          <w:rFonts w:ascii="Arial" w:hAnsi="Arial" w:cs="Arial"/>
          <w:sz w:val="18"/>
          <w:szCs w:val="18"/>
        </w:rPr>
        <w:sectPr w:rsidR="001F5195" w:rsidRPr="00B624D9" w:rsidSect="009931F8">
          <w:type w:val="continuous"/>
          <w:pgSz w:w="12240" w:h="15840"/>
          <w:pgMar w:top="1440" w:right="1440" w:bottom="1440" w:left="618" w:header="720" w:footer="720" w:gutter="0"/>
          <w:cols w:space="720"/>
          <w:docGrid w:linePitch="360"/>
        </w:sectPr>
      </w:pPr>
    </w:p>
    <w:p w:rsidR="00B624D9" w:rsidRDefault="00B624D9" w:rsidP="002514C5">
      <w:pPr>
        <w:spacing w:after="0" w:line="240" w:lineRule="auto"/>
        <w:rPr>
          <w:rFonts w:ascii="Arial" w:hAnsi="Arial" w:cs="Arial"/>
          <w:b/>
          <w:sz w:val="20"/>
          <w:szCs w:val="20"/>
        </w:rPr>
      </w:pPr>
    </w:p>
    <w:p w:rsidR="00833910" w:rsidRPr="00622C05" w:rsidRDefault="005E47BB" w:rsidP="002514C5">
      <w:pPr>
        <w:spacing w:after="0" w:line="240" w:lineRule="auto"/>
        <w:rPr>
          <w:rFonts w:ascii="Arial" w:hAnsi="Arial" w:cs="Arial"/>
          <w:b/>
          <w:color w:val="984806" w:themeColor="accent6" w:themeShade="80"/>
          <w:sz w:val="20"/>
          <w:szCs w:val="20"/>
        </w:rPr>
      </w:pPr>
      <w:r w:rsidRPr="00622C05">
        <w:rPr>
          <w:rFonts w:ascii="Arial" w:hAnsi="Arial" w:cs="Arial"/>
          <w:b/>
          <w:color w:val="984806" w:themeColor="accent6" w:themeShade="80"/>
          <w:sz w:val="20"/>
          <w:szCs w:val="20"/>
        </w:rPr>
        <w:t>Abstract</w:t>
      </w:r>
      <w:r w:rsidR="00B624D9" w:rsidRPr="00622C05">
        <w:rPr>
          <w:rFonts w:ascii="Arial" w:hAnsi="Arial" w:cs="Arial"/>
          <w:b/>
          <w:color w:val="984806" w:themeColor="accent6" w:themeShade="80"/>
          <w:sz w:val="20"/>
          <w:szCs w:val="20"/>
        </w:rPr>
        <w:t xml:space="preserve"> </w:t>
      </w:r>
    </w:p>
    <w:p w:rsidR="00A87C13" w:rsidRPr="00B624D9" w:rsidRDefault="005E47BB" w:rsidP="00B624D9">
      <w:pPr>
        <w:spacing w:after="0" w:line="240" w:lineRule="auto"/>
        <w:jc w:val="both"/>
        <w:rPr>
          <w:rFonts w:ascii="Tw Cen MT" w:hAnsi="Tw Cen MT"/>
          <w:sz w:val="18"/>
          <w:szCs w:val="18"/>
        </w:rPr>
      </w:pPr>
      <w:r w:rsidRPr="00B624D9">
        <w:rPr>
          <w:rFonts w:ascii="Tw Cen MT" w:hAnsi="Tw Cen MT"/>
          <w:b/>
          <w:sz w:val="18"/>
          <w:szCs w:val="18"/>
        </w:rPr>
        <w:t>Statement of the problem</w:t>
      </w:r>
      <w:r w:rsidR="00A87C13" w:rsidRPr="00B624D9">
        <w:rPr>
          <w:rFonts w:ascii="Tw Cen MT" w:hAnsi="Tw Cen MT"/>
          <w:b/>
          <w:sz w:val="18"/>
          <w:szCs w:val="18"/>
        </w:rPr>
        <w:t>:</w:t>
      </w:r>
      <w:r w:rsidR="00A87C13" w:rsidRPr="00B624D9">
        <w:rPr>
          <w:rFonts w:ascii="Tw Cen MT" w:hAnsi="Tw Cen MT"/>
          <w:sz w:val="18"/>
          <w:szCs w:val="18"/>
        </w:rPr>
        <w:t xml:space="preserve"> </w:t>
      </w:r>
      <w:r w:rsidR="00560987" w:rsidRPr="00560987">
        <w:rPr>
          <w:rFonts w:ascii="Tw Cen MT" w:hAnsi="Tw Cen MT"/>
          <w:sz w:val="18"/>
          <w:szCs w:val="18"/>
        </w:rPr>
        <w:t>Women’s nutrition pre-conception, in pregnancy and post pregnancy is central to children’s survival and nutrition status. In India, despite provisions for tribal development, tribal women remained chronically undernourished as compared to non-tribal women. We explored the nutrition status of Indian women and examined the reasons for variable performance on women’s nutrition especially among tribal women, and investigated the enablers and barriers to improving coverage of essential nutrition interventions in three Indian states of Chhattisgarh, Jharkhand and Odisha.</w:t>
      </w:r>
      <w:r w:rsidR="00560987">
        <w:rPr>
          <w:rFonts w:ascii="Tw Cen MT" w:hAnsi="Tw Cen MT"/>
          <w:sz w:val="18"/>
          <w:szCs w:val="18"/>
        </w:rPr>
        <w:t xml:space="preserve"> </w:t>
      </w:r>
      <w:r w:rsidR="00F23024" w:rsidRPr="00B624D9">
        <w:rPr>
          <w:rFonts w:ascii="Tw Cen MT" w:hAnsi="Tw Cen MT"/>
          <w:b/>
          <w:sz w:val="18"/>
          <w:szCs w:val="18"/>
        </w:rPr>
        <w:t>Methodology &amp; Theoretical Orientation:</w:t>
      </w:r>
      <w:r w:rsidR="00A87C13" w:rsidRPr="00B624D9">
        <w:rPr>
          <w:rFonts w:ascii="Tw Cen MT" w:hAnsi="Tw Cen MT"/>
          <w:sz w:val="18"/>
          <w:szCs w:val="18"/>
        </w:rPr>
        <w:t xml:space="preserve"> </w:t>
      </w:r>
      <w:r w:rsidR="004F6010" w:rsidRPr="004F6010">
        <w:rPr>
          <w:rFonts w:ascii="Tw Cen MT" w:hAnsi="Tw Cen MT" w:cs="Arial"/>
          <w:sz w:val="18"/>
          <w:szCs w:val="18"/>
        </w:rPr>
        <w:t xml:space="preserve">Recent data sources on demography, health and nutrition status, services and </w:t>
      </w:r>
      <w:proofErr w:type="spellStart"/>
      <w:r w:rsidR="004F6010" w:rsidRPr="004F6010">
        <w:rPr>
          <w:rFonts w:ascii="Tw Cen MT" w:hAnsi="Tw Cen MT" w:cs="Arial"/>
          <w:sz w:val="18"/>
          <w:szCs w:val="18"/>
        </w:rPr>
        <w:t>behaviours</w:t>
      </w:r>
      <w:proofErr w:type="spellEnd"/>
      <w:r w:rsidR="004F6010" w:rsidRPr="004F6010">
        <w:rPr>
          <w:rFonts w:ascii="Tw Cen MT" w:hAnsi="Tw Cen MT" w:cs="Arial"/>
          <w:sz w:val="18"/>
          <w:szCs w:val="18"/>
        </w:rPr>
        <w:t xml:space="preserve"> were identified from published literature and websites and latest publications of relevant government departments and development agencies were reviewed. An extensive mapping exercise was undertaken to identify all government departments and non-government </w:t>
      </w:r>
      <w:proofErr w:type="spellStart"/>
      <w:r w:rsidR="004F6010" w:rsidRPr="004F6010">
        <w:rPr>
          <w:rFonts w:ascii="Tw Cen MT" w:hAnsi="Tw Cen MT" w:cs="Arial"/>
          <w:sz w:val="18"/>
          <w:szCs w:val="18"/>
        </w:rPr>
        <w:t>organisations</w:t>
      </w:r>
      <w:proofErr w:type="spellEnd"/>
      <w:r w:rsidR="004F6010" w:rsidRPr="004F6010">
        <w:rPr>
          <w:rFonts w:ascii="Tw Cen MT" w:hAnsi="Tw Cen MT" w:cs="Arial"/>
          <w:sz w:val="18"/>
          <w:szCs w:val="18"/>
        </w:rPr>
        <w:t xml:space="preserve"> (NGOs) working on women’s nutrition through websites searching and contacting local experts in each state. Information on government </w:t>
      </w:r>
      <w:proofErr w:type="spellStart"/>
      <w:r w:rsidR="004F6010" w:rsidRPr="004F6010">
        <w:rPr>
          <w:rFonts w:ascii="Tw Cen MT" w:hAnsi="Tw Cen MT" w:cs="Arial"/>
          <w:sz w:val="18"/>
          <w:szCs w:val="18"/>
        </w:rPr>
        <w:t>programmes</w:t>
      </w:r>
      <w:proofErr w:type="spellEnd"/>
      <w:r w:rsidR="004F6010" w:rsidRPr="004F6010">
        <w:rPr>
          <w:rFonts w:ascii="Tw Cen MT" w:hAnsi="Tw Cen MT" w:cs="Arial"/>
          <w:sz w:val="18"/>
          <w:szCs w:val="18"/>
        </w:rPr>
        <w:t xml:space="preserve"> were extracted through state specific department websites, annual reports, evaluation reports and journal articles. Estimates have mostly been reported from Census of India 2011, Rapid Survey on Children (RSOC) 2013-14 and National Family Health Survey (NFHS) 2005-06. The qualitative investigation on enablers and barriers for improving coverage of nutrition interventions was based on 977 interviews and 120 Focus Group Discussions with adolescent girls, women of reproductive age-group (15-49y), field workers and government representatives as well as review of active government schemes. Simple descriptive analysis was undertaken for the mapping exercise and responses of key stakeholders generated through interviews and FGDs</w:t>
      </w:r>
      <w:r w:rsidR="004F6010">
        <w:rPr>
          <w:rFonts w:ascii="Tw Cen MT" w:hAnsi="Tw Cen MT" w:cs="Arial"/>
          <w:sz w:val="18"/>
          <w:szCs w:val="18"/>
        </w:rPr>
        <w:t xml:space="preserve">. </w:t>
      </w:r>
      <w:r w:rsidR="00F23024" w:rsidRPr="00B624D9">
        <w:rPr>
          <w:rFonts w:ascii="Tw Cen MT" w:hAnsi="Tw Cen MT"/>
          <w:b/>
          <w:sz w:val="18"/>
          <w:szCs w:val="18"/>
        </w:rPr>
        <w:t>Findings</w:t>
      </w:r>
      <w:r w:rsidR="00A87C13" w:rsidRPr="00B624D9">
        <w:rPr>
          <w:rFonts w:ascii="Tw Cen MT" w:hAnsi="Tw Cen MT"/>
          <w:b/>
          <w:sz w:val="18"/>
          <w:szCs w:val="18"/>
        </w:rPr>
        <w:t>:</w:t>
      </w:r>
      <w:r w:rsidR="00A87C13" w:rsidRPr="00B624D9">
        <w:rPr>
          <w:rFonts w:ascii="Tw Cen MT" w:hAnsi="Tw Cen MT"/>
          <w:sz w:val="18"/>
          <w:szCs w:val="18"/>
        </w:rPr>
        <w:t xml:space="preserve"> </w:t>
      </w:r>
      <w:r w:rsidR="008715C3" w:rsidRPr="008715C3">
        <w:rPr>
          <w:rFonts w:ascii="Tw Cen MT" w:hAnsi="Tw Cen MT"/>
          <w:sz w:val="18"/>
          <w:szCs w:val="18"/>
        </w:rPr>
        <w:t xml:space="preserve">Large scale surveys and routine monitoring are currently deficient in measuring nutrition status of women. All centrally sponsored schemes are implemented in study states but over 50% tribal women are not reached at critical times like early pregnancy through the existing platforms. States with better reach of essential nutrition interventions have government led fully functional tribal development agencies/ departments and organized involvement of community members and field workers in service delivery. </w:t>
      </w:r>
      <w:r w:rsidR="00A87C13" w:rsidRPr="00B624D9">
        <w:rPr>
          <w:rFonts w:ascii="Tw Cen MT" w:hAnsi="Tw Cen MT"/>
          <w:b/>
          <w:sz w:val="18"/>
          <w:szCs w:val="18"/>
        </w:rPr>
        <w:t>Conclusion</w:t>
      </w:r>
      <w:r w:rsidR="0002291E" w:rsidRPr="00B624D9">
        <w:rPr>
          <w:rFonts w:ascii="Tw Cen MT" w:hAnsi="Tw Cen MT"/>
          <w:b/>
          <w:sz w:val="18"/>
          <w:szCs w:val="18"/>
        </w:rPr>
        <w:t xml:space="preserve"> and significance</w:t>
      </w:r>
      <w:r w:rsidR="00A87C13" w:rsidRPr="00B624D9">
        <w:rPr>
          <w:rFonts w:ascii="Tw Cen MT" w:hAnsi="Tw Cen MT"/>
          <w:b/>
          <w:sz w:val="18"/>
          <w:szCs w:val="18"/>
        </w:rPr>
        <w:t>:</w:t>
      </w:r>
      <w:r w:rsidR="00A87C13" w:rsidRPr="00B624D9">
        <w:rPr>
          <w:rFonts w:ascii="Tw Cen MT" w:hAnsi="Tw Cen MT"/>
          <w:sz w:val="18"/>
          <w:szCs w:val="18"/>
        </w:rPr>
        <w:t xml:space="preserve"> </w:t>
      </w:r>
      <w:r w:rsidR="00166EB1" w:rsidRPr="00166EB1">
        <w:rPr>
          <w:rFonts w:ascii="Tw Cen MT" w:hAnsi="Tw Cen MT"/>
          <w:sz w:val="18"/>
          <w:szCs w:val="18"/>
        </w:rPr>
        <w:t xml:space="preserve">All national schemes should be reviewed with a tribal lens as tribes remain </w:t>
      </w:r>
      <w:r w:rsidR="00166EB1" w:rsidRPr="00166EB1">
        <w:rPr>
          <w:rFonts w:ascii="Tw Cen MT" w:hAnsi="Tw Cen MT"/>
          <w:sz w:val="18"/>
          <w:szCs w:val="18"/>
        </w:rPr>
        <w:lastRenderedPageBreak/>
        <w:t>outside the ambit of most nutrition-safety nets. Proven measures like strengthening tribal development nodal agencies, motivational incentives to field workers and organized community involvement need to be scaled-up.</w:t>
      </w:r>
    </w:p>
    <w:p w:rsidR="00086B69" w:rsidRPr="00B624D9" w:rsidRDefault="00086B69" w:rsidP="00B624D9">
      <w:pPr>
        <w:spacing w:after="0" w:line="240" w:lineRule="auto"/>
        <w:jc w:val="both"/>
        <w:rPr>
          <w:rFonts w:ascii="Tw Cen MT" w:hAnsi="Tw Cen MT"/>
          <w:sz w:val="18"/>
          <w:szCs w:val="18"/>
        </w:rPr>
      </w:pPr>
    </w:p>
    <w:p w:rsidR="00630970" w:rsidRPr="00B624D9" w:rsidRDefault="00A87C13" w:rsidP="00B624D9">
      <w:pPr>
        <w:spacing w:after="0" w:line="240" w:lineRule="auto"/>
        <w:jc w:val="both"/>
        <w:rPr>
          <w:rFonts w:ascii="Tw Cen MT" w:hAnsi="Tw Cen MT"/>
          <w:sz w:val="18"/>
          <w:szCs w:val="18"/>
        </w:rPr>
      </w:pPr>
      <w:r w:rsidRPr="00B624D9">
        <w:rPr>
          <w:rFonts w:ascii="Tw Cen MT" w:hAnsi="Tw Cen MT"/>
          <w:b/>
          <w:sz w:val="18"/>
          <w:szCs w:val="18"/>
        </w:rPr>
        <w:t>Keywords:</w:t>
      </w:r>
      <w:r w:rsidRPr="00B624D9">
        <w:rPr>
          <w:rFonts w:ascii="Tw Cen MT" w:hAnsi="Tw Cen MT"/>
          <w:sz w:val="18"/>
          <w:szCs w:val="18"/>
        </w:rPr>
        <w:t xml:space="preserve"> </w:t>
      </w:r>
      <w:r w:rsidR="00872D7E" w:rsidRPr="00872D7E">
        <w:rPr>
          <w:rFonts w:ascii="Tw Cen MT" w:hAnsi="Tw Cen MT"/>
          <w:sz w:val="18"/>
          <w:szCs w:val="18"/>
        </w:rPr>
        <w:t>Women’s nutrition; essential nutrition interventions; tribal, non-tribal; India</w:t>
      </w:r>
    </w:p>
    <w:p w:rsidR="00630970" w:rsidRPr="00B624D9" w:rsidRDefault="00630970" w:rsidP="00B624D9">
      <w:pPr>
        <w:spacing w:after="0" w:line="240" w:lineRule="auto"/>
        <w:jc w:val="both"/>
        <w:rPr>
          <w:rFonts w:ascii="Tw Cen MT" w:hAnsi="Tw Cen MT"/>
          <w:sz w:val="18"/>
          <w:szCs w:val="18"/>
        </w:rPr>
      </w:pPr>
    </w:p>
    <w:p w:rsidR="00630970" w:rsidRPr="00622C05" w:rsidRDefault="00630970" w:rsidP="002514C5">
      <w:pPr>
        <w:spacing w:after="0" w:line="240" w:lineRule="auto"/>
        <w:rPr>
          <w:rFonts w:ascii="Arial" w:hAnsi="Arial" w:cs="Arial"/>
          <w:b/>
          <w:color w:val="984806" w:themeColor="accent6" w:themeShade="80"/>
          <w:sz w:val="20"/>
          <w:szCs w:val="20"/>
        </w:rPr>
      </w:pPr>
      <w:r w:rsidRPr="00622C05">
        <w:rPr>
          <w:rFonts w:ascii="Arial" w:hAnsi="Arial" w:cs="Arial"/>
          <w:b/>
          <w:color w:val="984806" w:themeColor="accent6" w:themeShade="80"/>
          <w:sz w:val="20"/>
          <w:szCs w:val="20"/>
        </w:rPr>
        <w:t>Recent Publications</w:t>
      </w:r>
    </w:p>
    <w:p w:rsidR="006A783A" w:rsidRPr="006A783A" w:rsidRDefault="006A783A" w:rsidP="002514C5">
      <w:pPr>
        <w:spacing w:after="0" w:line="240" w:lineRule="auto"/>
        <w:rPr>
          <w:rFonts w:ascii="Tw Cen MT" w:hAnsi="Tw Cen MT"/>
          <w:b/>
          <w:sz w:val="24"/>
          <w:szCs w:val="24"/>
        </w:rPr>
      </w:pPr>
    </w:p>
    <w:p w:rsidR="00630970" w:rsidRPr="00A7569B" w:rsidRDefault="00630970" w:rsidP="00630970">
      <w:pPr>
        <w:spacing w:after="0" w:line="240" w:lineRule="auto"/>
        <w:rPr>
          <w:sz w:val="18"/>
          <w:szCs w:val="18"/>
        </w:rPr>
      </w:pPr>
      <w:r w:rsidRPr="00A7569B">
        <w:rPr>
          <w:sz w:val="18"/>
          <w:szCs w:val="18"/>
        </w:rPr>
        <w:t xml:space="preserve">1.Shankar B*, Agrawal S, </w:t>
      </w:r>
      <w:proofErr w:type="spellStart"/>
      <w:r w:rsidRPr="00A7569B">
        <w:rPr>
          <w:sz w:val="18"/>
          <w:szCs w:val="18"/>
        </w:rPr>
        <w:t>Beaudreault</w:t>
      </w:r>
      <w:proofErr w:type="spellEnd"/>
      <w:r w:rsidRPr="00A7569B">
        <w:rPr>
          <w:sz w:val="18"/>
          <w:szCs w:val="18"/>
        </w:rPr>
        <w:t xml:space="preserve"> AR, </w:t>
      </w:r>
      <w:proofErr w:type="spellStart"/>
      <w:r w:rsidRPr="00A7569B">
        <w:rPr>
          <w:sz w:val="18"/>
          <w:szCs w:val="18"/>
        </w:rPr>
        <w:t>Laxmaiah</w:t>
      </w:r>
      <w:proofErr w:type="spellEnd"/>
      <w:r w:rsidRPr="00A7569B">
        <w:rPr>
          <w:sz w:val="18"/>
          <w:szCs w:val="18"/>
        </w:rPr>
        <w:t xml:space="preserve"> A, </w:t>
      </w:r>
      <w:proofErr w:type="spellStart"/>
      <w:r w:rsidRPr="00A7569B">
        <w:rPr>
          <w:sz w:val="18"/>
          <w:szCs w:val="18"/>
        </w:rPr>
        <w:t>Martorell</w:t>
      </w:r>
      <w:proofErr w:type="spellEnd"/>
      <w:r w:rsidRPr="00A7569B">
        <w:rPr>
          <w:sz w:val="18"/>
          <w:szCs w:val="18"/>
        </w:rPr>
        <w:t xml:space="preserve"> R, </w:t>
      </w:r>
      <w:proofErr w:type="spellStart"/>
      <w:r w:rsidRPr="00A7569B">
        <w:rPr>
          <w:sz w:val="18"/>
          <w:szCs w:val="18"/>
        </w:rPr>
        <w:t>Osendarp</w:t>
      </w:r>
      <w:proofErr w:type="spellEnd"/>
      <w:r w:rsidRPr="00A7569B">
        <w:rPr>
          <w:sz w:val="18"/>
          <w:szCs w:val="18"/>
        </w:rPr>
        <w:t xml:space="preserve"> SJM, Prabhakaran D, Mclean MS. Dietary and Nutritional Change in India: Implications for Strategies, Policies and Interventions. Ann N Y </w:t>
      </w:r>
      <w:proofErr w:type="spellStart"/>
      <w:r w:rsidRPr="00A7569B">
        <w:rPr>
          <w:sz w:val="18"/>
          <w:szCs w:val="18"/>
        </w:rPr>
        <w:t>Acad</w:t>
      </w:r>
      <w:proofErr w:type="spellEnd"/>
      <w:r w:rsidRPr="00A7569B">
        <w:rPr>
          <w:sz w:val="18"/>
          <w:szCs w:val="18"/>
        </w:rPr>
        <w:t xml:space="preserve"> Sci. 2017 May</w:t>
      </w:r>
      <w:proofErr w:type="gramStart"/>
      <w:r w:rsidRPr="00A7569B">
        <w:rPr>
          <w:sz w:val="18"/>
          <w:szCs w:val="18"/>
        </w:rPr>
        <w:t>;1395</w:t>
      </w:r>
      <w:proofErr w:type="gramEnd"/>
      <w:r w:rsidRPr="00A7569B">
        <w:rPr>
          <w:sz w:val="18"/>
          <w:szCs w:val="18"/>
        </w:rPr>
        <w:t>(1):49-59.</w:t>
      </w:r>
    </w:p>
    <w:p w:rsidR="00630970" w:rsidRPr="00A7569B" w:rsidRDefault="00630970" w:rsidP="00630970">
      <w:pPr>
        <w:spacing w:after="0" w:line="240" w:lineRule="auto"/>
        <w:rPr>
          <w:sz w:val="18"/>
          <w:szCs w:val="18"/>
        </w:rPr>
      </w:pPr>
      <w:r w:rsidRPr="00A7569B">
        <w:rPr>
          <w:sz w:val="18"/>
          <w:szCs w:val="18"/>
        </w:rPr>
        <w:t xml:space="preserve">2.Joy EJM*, Green R, Agrawal S, </w:t>
      </w:r>
      <w:proofErr w:type="spellStart"/>
      <w:r w:rsidRPr="00A7569B">
        <w:rPr>
          <w:sz w:val="18"/>
          <w:szCs w:val="18"/>
        </w:rPr>
        <w:t>Aleksandrowicz</w:t>
      </w:r>
      <w:proofErr w:type="spellEnd"/>
      <w:r w:rsidRPr="00A7569B">
        <w:rPr>
          <w:sz w:val="18"/>
          <w:szCs w:val="18"/>
        </w:rPr>
        <w:t xml:space="preserve"> L, Bowen L, Kinra S, </w:t>
      </w:r>
      <w:proofErr w:type="spellStart"/>
      <w:r w:rsidRPr="00A7569B">
        <w:rPr>
          <w:sz w:val="18"/>
          <w:szCs w:val="18"/>
        </w:rPr>
        <w:t>Macdiarmid</w:t>
      </w:r>
      <w:proofErr w:type="spellEnd"/>
      <w:r w:rsidRPr="00A7569B">
        <w:rPr>
          <w:sz w:val="18"/>
          <w:szCs w:val="18"/>
        </w:rPr>
        <w:t xml:space="preserve"> JI, Haines A, Dangour AD. Dietary patterns and non-communicable disease risk in Indian adults: secondary analysis of Indian Migration Study data. Public Health </w:t>
      </w:r>
      <w:proofErr w:type="spellStart"/>
      <w:r w:rsidRPr="00A7569B">
        <w:rPr>
          <w:sz w:val="18"/>
          <w:szCs w:val="18"/>
        </w:rPr>
        <w:t>Nutr</w:t>
      </w:r>
      <w:proofErr w:type="spellEnd"/>
      <w:r w:rsidRPr="00A7569B">
        <w:rPr>
          <w:sz w:val="18"/>
          <w:szCs w:val="18"/>
        </w:rPr>
        <w:t xml:space="preserve">. 2017 Apr 3:1-10. </w:t>
      </w:r>
      <w:proofErr w:type="spellStart"/>
      <w:proofErr w:type="gramStart"/>
      <w:r w:rsidRPr="00A7569B">
        <w:rPr>
          <w:sz w:val="18"/>
          <w:szCs w:val="18"/>
        </w:rPr>
        <w:t>doi</w:t>
      </w:r>
      <w:proofErr w:type="spellEnd"/>
      <w:proofErr w:type="gramEnd"/>
      <w:r w:rsidRPr="00A7569B">
        <w:rPr>
          <w:sz w:val="18"/>
          <w:szCs w:val="18"/>
        </w:rPr>
        <w:t>: 10.1017/ S1368980017000416. [</w:t>
      </w:r>
      <w:proofErr w:type="spellStart"/>
      <w:r w:rsidRPr="00A7569B">
        <w:rPr>
          <w:sz w:val="18"/>
          <w:szCs w:val="18"/>
        </w:rPr>
        <w:t>Epub</w:t>
      </w:r>
      <w:proofErr w:type="spellEnd"/>
      <w:r w:rsidRPr="00A7569B">
        <w:rPr>
          <w:sz w:val="18"/>
          <w:szCs w:val="18"/>
        </w:rPr>
        <w:t xml:space="preserve"> ahead of print]</w:t>
      </w:r>
    </w:p>
    <w:p w:rsidR="00630970" w:rsidRPr="00A7569B" w:rsidRDefault="00630970" w:rsidP="00630970">
      <w:pPr>
        <w:spacing w:after="0" w:line="240" w:lineRule="auto"/>
        <w:rPr>
          <w:sz w:val="18"/>
          <w:szCs w:val="18"/>
        </w:rPr>
      </w:pPr>
      <w:r w:rsidRPr="00A7569B">
        <w:rPr>
          <w:sz w:val="18"/>
          <w:szCs w:val="18"/>
        </w:rPr>
        <w:t xml:space="preserve">3.Milner J*, Joy EJM, Green R, Harris F, </w:t>
      </w:r>
      <w:proofErr w:type="spellStart"/>
      <w:r w:rsidRPr="00A7569B">
        <w:rPr>
          <w:sz w:val="18"/>
          <w:szCs w:val="18"/>
        </w:rPr>
        <w:t>Aleksandrowicz</w:t>
      </w:r>
      <w:proofErr w:type="spellEnd"/>
      <w:r w:rsidRPr="00A7569B">
        <w:rPr>
          <w:sz w:val="18"/>
          <w:szCs w:val="18"/>
        </w:rPr>
        <w:t xml:space="preserve"> L, Agrawal S, Smith P, Haines A, Dangour AD. Projected health effects of realistic dietary changes to address freshwater constraints in India: a modelling study. Lancet Planet Health 2017; 1(1):e26-32.</w:t>
      </w:r>
    </w:p>
    <w:p w:rsidR="00630970" w:rsidRPr="00A7569B" w:rsidRDefault="00630970" w:rsidP="00630970">
      <w:pPr>
        <w:spacing w:after="0" w:line="240" w:lineRule="auto"/>
        <w:rPr>
          <w:sz w:val="18"/>
          <w:szCs w:val="18"/>
        </w:rPr>
      </w:pPr>
      <w:proofErr w:type="gramStart"/>
      <w:r w:rsidRPr="00A7569B">
        <w:rPr>
          <w:sz w:val="18"/>
          <w:szCs w:val="18"/>
        </w:rPr>
        <w:t>4.Agrawal</w:t>
      </w:r>
      <w:proofErr w:type="gramEnd"/>
      <w:r w:rsidRPr="00A7569B">
        <w:rPr>
          <w:sz w:val="18"/>
          <w:szCs w:val="18"/>
        </w:rPr>
        <w:t xml:space="preserve"> S*, Fledderjohann J. Hypertensive Disorder in pregnancy and the risk of Diabetes in Indian women. BMJ Open. 2016 BMJ Open 2016; 6:e011000 doi</w:t>
      </w:r>
      <w:proofErr w:type="gramStart"/>
      <w:r w:rsidRPr="00A7569B">
        <w:rPr>
          <w:sz w:val="18"/>
          <w:szCs w:val="18"/>
        </w:rPr>
        <w:t>:10.1136</w:t>
      </w:r>
      <w:proofErr w:type="gramEnd"/>
      <w:r w:rsidRPr="00A7569B">
        <w:rPr>
          <w:sz w:val="18"/>
          <w:szCs w:val="18"/>
        </w:rPr>
        <w:t>/bmjopen-2015-011000</w:t>
      </w:r>
      <w:r w:rsidR="007A32AB" w:rsidRPr="00A7569B">
        <w:rPr>
          <w:sz w:val="18"/>
          <w:szCs w:val="18"/>
        </w:rPr>
        <w:t>.</w:t>
      </w:r>
    </w:p>
    <w:p w:rsidR="007A32AB" w:rsidRPr="00A7569B" w:rsidRDefault="007A32AB" w:rsidP="00630970">
      <w:pPr>
        <w:spacing w:after="0" w:line="240" w:lineRule="auto"/>
        <w:rPr>
          <w:sz w:val="18"/>
          <w:szCs w:val="18"/>
        </w:rPr>
      </w:pPr>
      <w:r w:rsidRPr="00A7569B">
        <w:rPr>
          <w:sz w:val="18"/>
          <w:szCs w:val="18"/>
        </w:rPr>
        <w:t xml:space="preserve">5.Green R*, Milner J, Joy E, Agrawal S, Dangour A. Dietary patterns in India: A systematic Review. Br J </w:t>
      </w:r>
      <w:proofErr w:type="spellStart"/>
      <w:r w:rsidRPr="00A7569B">
        <w:rPr>
          <w:sz w:val="18"/>
          <w:szCs w:val="18"/>
        </w:rPr>
        <w:t>Nutr</w:t>
      </w:r>
      <w:proofErr w:type="spellEnd"/>
      <w:r w:rsidRPr="00A7569B">
        <w:rPr>
          <w:sz w:val="18"/>
          <w:szCs w:val="18"/>
        </w:rPr>
        <w:t>. 2016 May 5:1-7. [</w:t>
      </w:r>
      <w:proofErr w:type="spellStart"/>
      <w:r w:rsidRPr="00A7569B">
        <w:rPr>
          <w:sz w:val="18"/>
          <w:szCs w:val="18"/>
        </w:rPr>
        <w:t>Epub</w:t>
      </w:r>
      <w:proofErr w:type="spellEnd"/>
      <w:r w:rsidRPr="00A7569B">
        <w:rPr>
          <w:sz w:val="18"/>
          <w:szCs w:val="18"/>
        </w:rPr>
        <w:t xml:space="preserve"> ahead of print]</w:t>
      </w:r>
    </w:p>
    <w:p w:rsidR="00546979" w:rsidRPr="00A7569B" w:rsidRDefault="00546979" w:rsidP="00630970">
      <w:pPr>
        <w:spacing w:after="0" w:line="240" w:lineRule="auto"/>
        <w:rPr>
          <w:sz w:val="18"/>
          <w:szCs w:val="18"/>
        </w:rPr>
      </w:pPr>
      <w:r w:rsidRPr="00A7569B">
        <w:rPr>
          <w:sz w:val="18"/>
          <w:szCs w:val="18"/>
        </w:rPr>
        <w:t xml:space="preserve">6. Dhillon PK*, Bowen L, Kinra S, Bharati AV, Agrawal S, Prabhakaran DP, Reddy KS and Ebrahim S for the Indian Migration Study Group. Legume consumption and its association with fasting glucose, insulin resistance and type 2 diabetes in the Indian Migration Study. Public Health </w:t>
      </w:r>
      <w:proofErr w:type="spellStart"/>
      <w:r w:rsidRPr="00A7569B">
        <w:rPr>
          <w:sz w:val="18"/>
          <w:szCs w:val="18"/>
        </w:rPr>
        <w:t>Nutr</w:t>
      </w:r>
      <w:proofErr w:type="spellEnd"/>
      <w:r w:rsidRPr="00A7569B">
        <w:rPr>
          <w:sz w:val="18"/>
          <w:szCs w:val="18"/>
        </w:rPr>
        <w:t>. 2016; 19(16): 3017-3026.</w:t>
      </w:r>
    </w:p>
    <w:p w:rsidR="00A7569B" w:rsidRPr="00A7569B" w:rsidRDefault="00A7569B" w:rsidP="00630970">
      <w:pPr>
        <w:spacing w:after="0" w:line="240" w:lineRule="auto"/>
        <w:rPr>
          <w:sz w:val="18"/>
          <w:szCs w:val="18"/>
        </w:rPr>
      </w:pPr>
      <w:r w:rsidRPr="00A7569B">
        <w:rPr>
          <w:sz w:val="18"/>
          <w:szCs w:val="18"/>
        </w:rPr>
        <w:t>*denotes corresponding author</w:t>
      </w:r>
    </w:p>
    <w:p w:rsidR="00715CC2" w:rsidRDefault="00715CC2" w:rsidP="00630970">
      <w:pPr>
        <w:spacing w:after="0" w:line="240" w:lineRule="auto"/>
        <w:rPr>
          <w:rFonts w:ascii="Tw Cen MT" w:hAnsi="Tw Cen MT"/>
          <w:sz w:val="20"/>
          <w:szCs w:val="20"/>
        </w:rPr>
      </w:pPr>
    </w:p>
    <w:p w:rsidR="00715CC2" w:rsidRDefault="00715CC2" w:rsidP="00715CC2">
      <w:pPr>
        <w:spacing w:after="0" w:line="240" w:lineRule="auto"/>
        <w:rPr>
          <w:rFonts w:ascii="Arial" w:hAnsi="Arial" w:cs="Arial"/>
          <w:b/>
          <w:sz w:val="14"/>
          <w:szCs w:val="14"/>
        </w:rPr>
        <w:sectPr w:rsidR="00715CC2" w:rsidSect="00B23D82">
          <w:type w:val="continuous"/>
          <w:pgSz w:w="12240" w:h="15840"/>
          <w:pgMar w:top="1741" w:right="601" w:bottom="839" w:left="618" w:header="720" w:footer="720" w:gutter="0"/>
          <w:cols w:num="2" w:space="720"/>
          <w:docGrid w:linePitch="360"/>
        </w:sectPr>
      </w:pPr>
    </w:p>
    <w:p w:rsidR="00715CC2" w:rsidRDefault="00715CC2" w:rsidP="00715CC2">
      <w:pPr>
        <w:spacing w:after="0" w:line="240" w:lineRule="auto"/>
        <w:rPr>
          <w:rFonts w:ascii="Arial" w:hAnsi="Arial" w:cs="Arial"/>
          <w:b/>
          <w:sz w:val="14"/>
          <w:szCs w:val="14"/>
        </w:rPr>
      </w:pPr>
    </w:p>
    <w:p w:rsidR="00386914" w:rsidRDefault="00386914" w:rsidP="00715CC2">
      <w:pPr>
        <w:spacing w:after="0" w:line="240" w:lineRule="auto"/>
        <w:rPr>
          <w:rFonts w:ascii="Arial" w:hAnsi="Arial" w:cs="Arial"/>
          <w:b/>
          <w:sz w:val="14"/>
          <w:szCs w:val="14"/>
        </w:rPr>
      </w:pPr>
      <w:r>
        <w:rPr>
          <w:rFonts w:ascii="Calibri"/>
          <w:noProof/>
          <w:sz w:val="4"/>
          <w:lang w:val="en-IN" w:eastAsia="en-IN"/>
        </w:rPr>
        <mc:AlternateContent>
          <mc:Choice Requires="wpg">
            <w:drawing>
              <wp:inline distT="0" distB="0" distL="0" distR="0" wp14:anchorId="11568882" wp14:editId="3FBFA83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38E56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15CC2" w:rsidRDefault="00715CC2" w:rsidP="00715CC2">
      <w:pPr>
        <w:spacing w:after="0" w:line="240" w:lineRule="auto"/>
        <w:rPr>
          <w:rFonts w:ascii="Arial" w:hAnsi="Arial" w:cs="Arial"/>
          <w:b/>
          <w:sz w:val="14"/>
          <w:szCs w:val="14"/>
        </w:rPr>
      </w:pPr>
    </w:p>
    <w:p w:rsidR="002A617D" w:rsidRPr="002A617D" w:rsidRDefault="00CA2805" w:rsidP="002A617D">
      <w:pPr>
        <w:spacing w:after="0" w:line="240" w:lineRule="auto"/>
        <w:ind w:left="1440" w:firstLine="720"/>
        <w:rPr>
          <w:rFonts w:ascii="Arial" w:hAnsi="Arial" w:cs="Arial"/>
          <w:b/>
          <w:sz w:val="20"/>
          <w:szCs w:val="20"/>
        </w:rPr>
      </w:pPr>
      <w:r w:rsidRPr="005E26EE">
        <w:rPr>
          <w:noProof/>
          <w:lang w:val="en-IN" w:eastAsia="en-IN"/>
        </w:rPr>
        <w:drawing>
          <wp:inline distT="0" distB="0" distL="0" distR="0" wp14:anchorId="423ADF58" wp14:editId="679705EA">
            <wp:extent cx="452787" cy="571236"/>
            <wp:effectExtent l="0" t="0" r="4445" b="635"/>
            <wp:docPr id="3" name="Picture 1" descr="U:\Data_Sutapa\18.Miscellaneous\photo\TajvisitDec2013\m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ata_Sutapa\18.Miscellaneous\photo\TajvisitDec2013\me12.JPG"/>
                    <pic:cNvPicPr>
                      <a:picLocks noChangeAspect="1" noChangeArrowheads="1"/>
                    </pic:cNvPicPr>
                  </pic:nvPicPr>
                  <pic:blipFill>
                    <a:blip r:embed="rId4" cstate="print"/>
                    <a:srcRect/>
                    <a:stretch>
                      <a:fillRect/>
                    </a:stretch>
                  </pic:blipFill>
                  <pic:spPr bwMode="auto">
                    <a:xfrm>
                      <a:off x="0" y="0"/>
                      <a:ext cx="455819" cy="575061"/>
                    </a:xfrm>
                    <a:prstGeom prst="rect">
                      <a:avLst/>
                    </a:prstGeom>
                    <a:noFill/>
                    <a:ln w="9525">
                      <a:noFill/>
                      <a:miter lim="800000"/>
                      <a:headEnd/>
                      <a:tailEnd/>
                    </a:ln>
                  </pic:spPr>
                </pic:pic>
              </a:graphicData>
            </a:graphic>
          </wp:inline>
        </w:drawing>
      </w:r>
      <w:r w:rsidR="00622C05">
        <w:rPr>
          <w:rFonts w:ascii="Arial" w:hAnsi="Arial" w:cs="Arial"/>
          <w:b/>
          <w:sz w:val="20"/>
          <w:szCs w:val="20"/>
        </w:rPr>
        <w:t xml:space="preserve"> </w:t>
      </w:r>
      <w:r w:rsidR="002A617D" w:rsidRPr="00622C05">
        <w:rPr>
          <w:rFonts w:ascii="Arial" w:hAnsi="Arial" w:cs="Arial"/>
          <w:b/>
          <w:color w:val="984806" w:themeColor="accent6" w:themeShade="80"/>
          <w:sz w:val="20"/>
          <w:szCs w:val="20"/>
        </w:rPr>
        <w:t>Biography</w:t>
      </w:r>
    </w:p>
    <w:p w:rsidR="00715CC2" w:rsidRPr="00374C78" w:rsidRDefault="000C373A" w:rsidP="00715CC2">
      <w:pPr>
        <w:spacing w:after="0" w:line="240" w:lineRule="auto"/>
        <w:rPr>
          <w:rFonts w:ascii="Arial" w:hAnsi="Arial" w:cs="Arial"/>
          <w:sz w:val="14"/>
          <w:szCs w:val="14"/>
        </w:rPr>
      </w:pPr>
      <w:r w:rsidRPr="00374C78">
        <w:rPr>
          <w:rFonts w:ascii="Arial" w:hAnsi="Arial" w:cs="Arial"/>
          <w:sz w:val="14"/>
          <w:szCs w:val="14"/>
        </w:rPr>
        <w:t>Sutapa Agrawal (</w:t>
      </w:r>
      <w:proofErr w:type="spellStart"/>
      <w:r w:rsidRPr="00374C78">
        <w:rPr>
          <w:rFonts w:ascii="Arial" w:hAnsi="Arial" w:cs="Arial"/>
          <w:sz w:val="14"/>
          <w:szCs w:val="14"/>
        </w:rPr>
        <w:t>Ph.D</w:t>
      </w:r>
      <w:proofErr w:type="spellEnd"/>
      <w:r w:rsidRPr="00374C78">
        <w:rPr>
          <w:rFonts w:ascii="Arial" w:hAnsi="Arial" w:cs="Arial"/>
          <w:sz w:val="14"/>
          <w:szCs w:val="14"/>
        </w:rPr>
        <w:t xml:space="preserve">, International Institute for Population Sciences, Mumbai, India) is a Senior Research Scientist and Associate Professor at the Public Health Foundation of India, New Delhi NCR, India where she is engaged on several successful interdisciplinary research projects for the past seven years and has been leading the Large Scale Secondary Data Analysis Initiative Program with national and international data sets and with a wide range of national and international partners and collaborators on topics relevant to non-communicable disease (NCD) epidemiology and of public health importance. She occasionally teaches epidemiology, research methods and large scale data analysis using statistical </w:t>
      </w:r>
      <w:proofErr w:type="spellStart"/>
      <w:r w:rsidRPr="00374C78">
        <w:rPr>
          <w:rFonts w:ascii="Arial" w:hAnsi="Arial" w:cs="Arial"/>
          <w:sz w:val="14"/>
          <w:szCs w:val="14"/>
        </w:rPr>
        <w:t>softwares</w:t>
      </w:r>
      <w:proofErr w:type="spellEnd"/>
      <w:r w:rsidRPr="00374C78">
        <w:rPr>
          <w:rFonts w:ascii="Arial" w:hAnsi="Arial" w:cs="Arial"/>
          <w:sz w:val="14"/>
          <w:szCs w:val="14"/>
        </w:rPr>
        <w:t xml:space="preserve">. She has more than </w:t>
      </w:r>
      <w:r w:rsidR="00386914" w:rsidRPr="00374C78">
        <w:rPr>
          <w:rFonts w:ascii="Arial" w:hAnsi="Arial" w:cs="Arial"/>
          <w:sz w:val="14"/>
          <w:szCs w:val="14"/>
        </w:rPr>
        <w:t>eight</w:t>
      </w:r>
      <w:r w:rsidRPr="00374C78">
        <w:rPr>
          <w:rFonts w:ascii="Arial" w:hAnsi="Arial" w:cs="Arial"/>
          <w:sz w:val="14"/>
          <w:szCs w:val="14"/>
        </w:rPr>
        <w:t xml:space="preserve"> years of experience in designing demographic, nutritional and environmental epidemiological research studies, performing higher level statistical analysis, training and capacity building besides being actively and extensively engaged in NCD research to improve public health in India. </w:t>
      </w:r>
      <w:r w:rsidR="00715CC2" w:rsidRPr="00374C78">
        <w:rPr>
          <w:rFonts w:ascii="Arial" w:hAnsi="Arial" w:cs="Arial"/>
          <w:sz w:val="14"/>
          <w:szCs w:val="14"/>
        </w:rPr>
        <w:t>Her research interests are chronic disease epidemiology including obesity measures, nutritional epidemiology</w:t>
      </w:r>
      <w:r w:rsidR="00374C78" w:rsidRPr="00374C78">
        <w:rPr>
          <w:rFonts w:ascii="Arial" w:hAnsi="Arial" w:cs="Arial"/>
          <w:sz w:val="14"/>
          <w:szCs w:val="14"/>
        </w:rPr>
        <w:t xml:space="preserve">, </w:t>
      </w:r>
      <w:r w:rsidR="00715CC2" w:rsidRPr="00374C78">
        <w:rPr>
          <w:rFonts w:ascii="Arial" w:hAnsi="Arial" w:cs="Arial"/>
          <w:sz w:val="14"/>
          <w:szCs w:val="14"/>
        </w:rPr>
        <w:t>climate change resilient diets, environmental health, active travel, women and child health, social health policy and ageing.</w:t>
      </w:r>
    </w:p>
    <w:p w:rsidR="00715CC2" w:rsidRDefault="00715CC2" w:rsidP="00715CC2">
      <w:pPr>
        <w:spacing w:after="0" w:line="240" w:lineRule="auto"/>
        <w:rPr>
          <w:rFonts w:ascii="Arial" w:hAnsi="Arial" w:cs="Arial"/>
          <w:sz w:val="14"/>
          <w:szCs w:val="14"/>
        </w:rPr>
      </w:pPr>
    </w:p>
    <w:p w:rsidR="00715CC2" w:rsidRPr="00836839" w:rsidRDefault="00C2257A" w:rsidP="00EF1C26">
      <w:pPr>
        <w:spacing w:after="0" w:line="240" w:lineRule="auto"/>
        <w:jc w:val="center"/>
        <w:rPr>
          <w:rFonts w:ascii="Tw Cen MT" w:hAnsi="Tw Cen MT"/>
          <w:sz w:val="20"/>
          <w:szCs w:val="20"/>
        </w:rPr>
      </w:pPr>
      <w:r>
        <w:rPr>
          <w:rFonts w:ascii="Arial" w:hAnsi="Arial" w:cs="Arial"/>
          <w:sz w:val="14"/>
          <w:szCs w:val="14"/>
        </w:rPr>
        <w:t xml:space="preserve">Email: </w:t>
      </w:r>
      <w:hyperlink r:id="rId5" w:history="1">
        <w:r w:rsidRPr="00D15202">
          <w:rPr>
            <w:rStyle w:val="Hyperlink"/>
            <w:rFonts w:ascii="Arial" w:hAnsi="Arial" w:cs="Arial"/>
            <w:sz w:val="14"/>
            <w:szCs w:val="14"/>
          </w:rPr>
          <w:t>Sutapa.agrawal@gmail.com/sutapa.agrawal@phfi.org</w:t>
        </w:r>
      </w:hyperlink>
      <w:bookmarkStart w:id="0" w:name="_GoBack"/>
      <w:bookmarkEnd w:id="0"/>
    </w:p>
    <w:sectPr w:rsidR="00715CC2" w:rsidRPr="00836839" w:rsidSect="00715CC2">
      <w:type w:val="continuous"/>
      <w:pgSz w:w="12240" w:h="15840"/>
      <w:pgMar w:top="1741" w:right="601" w:bottom="839" w:left="6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731"/>
    <w:rsid w:val="000150E7"/>
    <w:rsid w:val="0002291E"/>
    <w:rsid w:val="00061DAD"/>
    <w:rsid w:val="00086B69"/>
    <w:rsid w:val="000C373A"/>
    <w:rsid w:val="00132399"/>
    <w:rsid w:val="00135604"/>
    <w:rsid w:val="00166EB1"/>
    <w:rsid w:val="00172151"/>
    <w:rsid w:val="001B3E8D"/>
    <w:rsid w:val="001D683C"/>
    <w:rsid w:val="001F5195"/>
    <w:rsid w:val="001F7837"/>
    <w:rsid w:val="002514C5"/>
    <w:rsid w:val="002A617D"/>
    <w:rsid w:val="00332BDE"/>
    <w:rsid w:val="00374C78"/>
    <w:rsid w:val="00386914"/>
    <w:rsid w:val="00404BC7"/>
    <w:rsid w:val="00436A59"/>
    <w:rsid w:val="00446329"/>
    <w:rsid w:val="00487DBF"/>
    <w:rsid w:val="004D42ED"/>
    <w:rsid w:val="004D5422"/>
    <w:rsid w:val="004F32F2"/>
    <w:rsid w:val="004F6010"/>
    <w:rsid w:val="00546979"/>
    <w:rsid w:val="00552CFC"/>
    <w:rsid w:val="00560987"/>
    <w:rsid w:val="005627BD"/>
    <w:rsid w:val="00571890"/>
    <w:rsid w:val="00573795"/>
    <w:rsid w:val="005847BA"/>
    <w:rsid w:val="005E47BB"/>
    <w:rsid w:val="00616DE8"/>
    <w:rsid w:val="00622C05"/>
    <w:rsid w:val="00630970"/>
    <w:rsid w:val="0066743C"/>
    <w:rsid w:val="006739B1"/>
    <w:rsid w:val="006A783A"/>
    <w:rsid w:val="006D4F57"/>
    <w:rsid w:val="006F7DA2"/>
    <w:rsid w:val="00715CC2"/>
    <w:rsid w:val="0077632F"/>
    <w:rsid w:val="007A32AB"/>
    <w:rsid w:val="007B3E8C"/>
    <w:rsid w:val="007F1D76"/>
    <w:rsid w:val="00833910"/>
    <w:rsid w:val="00836839"/>
    <w:rsid w:val="00851691"/>
    <w:rsid w:val="008715C3"/>
    <w:rsid w:val="00872D7E"/>
    <w:rsid w:val="008A1AA7"/>
    <w:rsid w:val="008A1FDA"/>
    <w:rsid w:val="008C0FD8"/>
    <w:rsid w:val="009903AA"/>
    <w:rsid w:val="009931F8"/>
    <w:rsid w:val="009A7E85"/>
    <w:rsid w:val="009C5638"/>
    <w:rsid w:val="009C68DD"/>
    <w:rsid w:val="009D0213"/>
    <w:rsid w:val="009F160A"/>
    <w:rsid w:val="00A5162D"/>
    <w:rsid w:val="00A5657A"/>
    <w:rsid w:val="00A7569B"/>
    <w:rsid w:val="00A87C13"/>
    <w:rsid w:val="00AD0731"/>
    <w:rsid w:val="00B23D82"/>
    <w:rsid w:val="00B40A2C"/>
    <w:rsid w:val="00B624D9"/>
    <w:rsid w:val="00C2257A"/>
    <w:rsid w:val="00C433A6"/>
    <w:rsid w:val="00CA2805"/>
    <w:rsid w:val="00D0035C"/>
    <w:rsid w:val="00D507AF"/>
    <w:rsid w:val="00DF2D3D"/>
    <w:rsid w:val="00E7388E"/>
    <w:rsid w:val="00E76F30"/>
    <w:rsid w:val="00EA1565"/>
    <w:rsid w:val="00EB722A"/>
    <w:rsid w:val="00EC47F8"/>
    <w:rsid w:val="00EC5846"/>
    <w:rsid w:val="00EF1C26"/>
    <w:rsid w:val="00F175B2"/>
    <w:rsid w:val="00F23024"/>
    <w:rsid w:val="00F87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A29BEB-DD24-452C-82E8-5BC0D55D5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A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3D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D82"/>
    <w:rPr>
      <w:rFonts w:ascii="Segoe UI" w:hAnsi="Segoe UI" w:cs="Segoe UI"/>
      <w:sz w:val="18"/>
      <w:szCs w:val="18"/>
    </w:rPr>
  </w:style>
  <w:style w:type="character" w:styleId="Hyperlink">
    <w:name w:val="Hyperlink"/>
    <w:basedOn w:val="DefaultParagraphFont"/>
    <w:uiPriority w:val="99"/>
    <w:unhideWhenUsed/>
    <w:rsid w:val="00C225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utapa.agrawal@gmail.com/sutapa.agrawal@phfi.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sutapa</dc:creator>
  <cp:keywords/>
  <dc:description/>
  <cp:lastModifiedBy>Sutapa Agrawal</cp:lastModifiedBy>
  <cp:revision>43</cp:revision>
  <cp:lastPrinted>2017-11-29T06:43:00Z</cp:lastPrinted>
  <dcterms:created xsi:type="dcterms:W3CDTF">2017-11-29T05:48:00Z</dcterms:created>
  <dcterms:modified xsi:type="dcterms:W3CDTF">2017-11-30T08:41:00Z</dcterms:modified>
</cp:coreProperties>
</file>