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91F56" w:rsidP="00494130">
      <w:pPr>
        <w:pStyle w:val="Heading1"/>
        <w:spacing w:before="170"/>
        <w:ind w:left="0"/>
      </w:pPr>
      <w:r>
        <w:rPr>
          <w:color w:val="337AB7"/>
        </w:rPr>
        <w:t>Obesity, Diabetes and Cancer: A Novel Signal Transduction Pathway</w:t>
      </w:r>
    </w:p>
    <w:p w:rsidR="00AE3E37" w:rsidRDefault="00691F56" w:rsidP="00163FA9">
      <w:pPr>
        <w:pStyle w:val="BodyText"/>
        <w:spacing w:before="73" w:line="198" w:lineRule="exact"/>
        <w:ind w:left="100" w:right="5987"/>
        <w:rPr>
          <w:rFonts w:ascii="Arial"/>
          <w:sz w:val="21"/>
        </w:rPr>
      </w:pPr>
      <w:r>
        <w:rPr>
          <w:rFonts w:ascii="Arial"/>
        </w:rPr>
        <w:t xml:space="preserve">Isao </w:t>
      </w:r>
      <w:proofErr w:type="gramStart"/>
      <w:r>
        <w:rPr>
          <w:rFonts w:ascii="Arial"/>
        </w:rPr>
        <w:t>Eto</w:t>
      </w:r>
      <w:proofErr w:type="gramEnd"/>
      <w:r w:rsidR="005973B9">
        <w:rPr>
          <w:rFonts w:ascii="Arial"/>
        </w:rPr>
        <w:t xml:space="preserve">, PhD, </w:t>
      </w:r>
      <w:r>
        <w:rPr>
          <w:rFonts w:ascii="Arial"/>
        </w:rPr>
        <w:t>University of Alabama at Birmingham</w:t>
      </w:r>
      <w:r w:rsidR="005973B9">
        <w:rPr>
          <w:rFonts w:ascii="Arial"/>
        </w:rPr>
        <w:t xml:space="preserve">, </w:t>
      </w:r>
      <w:r w:rsidR="00A95751">
        <w:rPr>
          <w:rFonts w:ascii="Arial"/>
        </w:rPr>
        <w:t xml:space="preserve">Birmingham, Alabama </w:t>
      </w:r>
      <w:r w:rsidR="005973B9">
        <w:rPr>
          <w:rFonts w:ascii="Arial"/>
        </w:rPr>
        <w:t xml:space="preserve">USA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6E475B" w:rsidRPr="006E475B" w:rsidRDefault="006E475B" w:rsidP="006E475B">
      <w:pPr>
        <w:autoSpaceDE w:val="0"/>
        <w:autoSpaceDN w:val="0"/>
        <w:adjustRightInd w:val="0"/>
        <w:spacing w:line="200" w:lineRule="exact"/>
        <w:ind w:left="100"/>
        <w:jc w:val="both"/>
        <w:rPr>
          <w:bCs/>
          <w:color w:val="181512"/>
          <w:sz w:val="18"/>
          <w:szCs w:val="18"/>
        </w:rPr>
      </w:pPr>
      <w:r w:rsidRPr="006E475B">
        <w:rPr>
          <w:bCs/>
          <w:color w:val="181512"/>
          <w:sz w:val="18"/>
          <w:szCs w:val="18"/>
        </w:rPr>
        <w:t>By 2016, obesity had been known to be associated with at least 13 types of cancer. In 2010, the American Cancer Society and American Diabetes Association issued a joint consensus report on diabetes and cancer. It stated that “type 2 diabetes and cancer share many risk factors, but potential biologic links between the two diseases are incompletely understood.” How might obesity-diabetes affect cancer risk? Today, I am going to present an outline of my experimental evidence that indicates the existence of a novel signaling transduction pathway that integrates other existing hypotheses as well.</w:t>
      </w:r>
    </w:p>
    <w:p w:rsidR="006E475B" w:rsidRPr="006E475B" w:rsidRDefault="005677B7" w:rsidP="006E475B">
      <w:pPr>
        <w:autoSpaceDE w:val="0"/>
        <w:autoSpaceDN w:val="0"/>
        <w:adjustRightInd w:val="0"/>
        <w:spacing w:line="200" w:lineRule="exact"/>
        <w:ind w:left="100"/>
        <w:jc w:val="both"/>
        <w:rPr>
          <w:bCs/>
          <w:color w:val="181512"/>
          <w:sz w:val="18"/>
          <w:szCs w:val="18"/>
        </w:rPr>
      </w:pPr>
      <w:r>
        <w:rPr>
          <w:bCs/>
          <w:color w:val="181512"/>
          <w:sz w:val="18"/>
          <w:szCs w:val="18"/>
        </w:rPr>
        <w:t xml:space="preserve">   </w:t>
      </w:r>
      <w:r w:rsidR="006E475B" w:rsidRPr="006E475B">
        <w:rPr>
          <w:bCs/>
          <w:color w:val="181512"/>
          <w:sz w:val="18"/>
          <w:szCs w:val="18"/>
        </w:rPr>
        <w:t>It is summarized in one sentence:</w:t>
      </w:r>
    </w:p>
    <w:p w:rsidR="006E475B" w:rsidRPr="006E475B" w:rsidRDefault="006E475B" w:rsidP="006E475B">
      <w:pPr>
        <w:autoSpaceDE w:val="0"/>
        <w:autoSpaceDN w:val="0"/>
        <w:adjustRightInd w:val="0"/>
        <w:spacing w:line="200" w:lineRule="exact"/>
        <w:ind w:left="100"/>
        <w:jc w:val="both"/>
        <w:rPr>
          <w:rFonts w:eastAsiaTheme="minorHAnsi"/>
          <w:bCs/>
          <w:sz w:val="18"/>
          <w:szCs w:val="18"/>
        </w:rPr>
      </w:pPr>
      <w:r w:rsidRPr="006E475B">
        <w:rPr>
          <w:bCs/>
          <w:color w:val="181512"/>
          <w:sz w:val="18"/>
          <w:szCs w:val="18"/>
        </w:rPr>
        <w:t>“</w:t>
      </w:r>
      <w:r w:rsidRPr="006E475B">
        <w:rPr>
          <w:rFonts w:eastAsiaTheme="minorHAnsi"/>
          <w:bCs/>
          <w:sz w:val="18"/>
          <w:szCs w:val="18"/>
        </w:rPr>
        <w:t>Expression of p27Kip1, a Cell Cycle Repressor Protein, in Human Peripheral Blood Mononuclear Cells Is Inversely Associated with Potential Carcinogenic Risk in Obese Type 2 Diabetic Individuals Relative to Lean Normal Controls”.</w:t>
      </w:r>
    </w:p>
    <w:p w:rsidR="006E475B" w:rsidRPr="006E475B" w:rsidRDefault="005677B7" w:rsidP="006E475B">
      <w:pPr>
        <w:autoSpaceDE w:val="0"/>
        <w:autoSpaceDN w:val="0"/>
        <w:adjustRightInd w:val="0"/>
        <w:spacing w:line="200" w:lineRule="exact"/>
        <w:ind w:left="100"/>
        <w:jc w:val="both"/>
        <w:rPr>
          <w:rFonts w:eastAsiaTheme="minorHAnsi"/>
          <w:bCs/>
          <w:sz w:val="18"/>
          <w:szCs w:val="18"/>
        </w:rPr>
      </w:pPr>
      <w:r>
        <w:rPr>
          <w:rFonts w:eastAsiaTheme="minorHAnsi"/>
          <w:bCs/>
          <w:sz w:val="18"/>
          <w:szCs w:val="18"/>
        </w:rPr>
        <w:t xml:space="preserve">   </w:t>
      </w:r>
      <w:r w:rsidR="006E475B" w:rsidRPr="006E475B">
        <w:rPr>
          <w:rFonts w:eastAsiaTheme="minorHAnsi"/>
          <w:bCs/>
          <w:sz w:val="18"/>
          <w:szCs w:val="18"/>
        </w:rPr>
        <w:t>You could observe the decrease in the expression of p27Kip1 in the peripheral blood mononuclear cells from the cancer-free obese type 2 diabetic individuals. The decrease in the expression of p27Kip1 could be an earliest indicator of the increase in the cancer risk in obese type 2 diabetic individuals.</w:t>
      </w:r>
    </w:p>
    <w:p w:rsidR="006E475B" w:rsidRPr="006E475B" w:rsidRDefault="005677B7" w:rsidP="006E475B">
      <w:pPr>
        <w:autoSpaceDE w:val="0"/>
        <w:autoSpaceDN w:val="0"/>
        <w:adjustRightInd w:val="0"/>
        <w:spacing w:line="200" w:lineRule="exact"/>
        <w:ind w:left="100"/>
        <w:jc w:val="both"/>
        <w:rPr>
          <w:rFonts w:eastAsiaTheme="minorHAnsi"/>
          <w:bCs/>
          <w:sz w:val="18"/>
          <w:szCs w:val="18"/>
        </w:rPr>
      </w:pPr>
      <w:r>
        <w:rPr>
          <w:rFonts w:eastAsiaTheme="minorHAnsi"/>
          <w:bCs/>
          <w:sz w:val="18"/>
          <w:szCs w:val="18"/>
        </w:rPr>
        <w:t xml:space="preserve">   </w:t>
      </w:r>
      <w:r w:rsidR="006E475B" w:rsidRPr="006E475B">
        <w:rPr>
          <w:rFonts w:eastAsiaTheme="minorHAnsi"/>
          <w:bCs/>
          <w:sz w:val="18"/>
          <w:szCs w:val="18"/>
        </w:rPr>
        <w:t>Unlike any other cell cycle regulatory proteins, p27Kip1 has two unusual molecular biological properties:</w:t>
      </w:r>
    </w:p>
    <w:p w:rsidR="006E475B" w:rsidRPr="006E475B" w:rsidRDefault="005677B7" w:rsidP="006E475B">
      <w:pPr>
        <w:autoSpaceDE w:val="0"/>
        <w:autoSpaceDN w:val="0"/>
        <w:adjustRightInd w:val="0"/>
        <w:spacing w:line="200" w:lineRule="exact"/>
        <w:ind w:left="100"/>
        <w:jc w:val="both"/>
        <w:rPr>
          <w:rFonts w:eastAsiaTheme="minorHAnsi"/>
          <w:bCs/>
          <w:sz w:val="18"/>
          <w:szCs w:val="18"/>
        </w:rPr>
      </w:pPr>
      <w:r>
        <w:rPr>
          <w:rFonts w:eastAsiaTheme="minorHAnsi"/>
          <w:bCs/>
          <w:sz w:val="18"/>
          <w:szCs w:val="18"/>
        </w:rPr>
        <w:t xml:space="preserve">   </w:t>
      </w:r>
      <w:r w:rsidR="006E475B" w:rsidRPr="006E475B">
        <w:rPr>
          <w:rFonts w:eastAsiaTheme="minorHAnsi"/>
          <w:bCs/>
          <w:sz w:val="18"/>
          <w:szCs w:val="18"/>
        </w:rPr>
        <w:t xml:space="preserve">First, a relatively large number of nutritional and </w:t>
      </w:r>
      <w:proofErr w:type="spellStart"/>
      <w:r w:rsidR="006E475B" w:rsidRPr="006E475B">
        <w:rPr>
          <w:rFonts w:eastAsiaTheme="minorHAnsi"/>
          <w:bCs/>
          <w:sz w:val="18"/>
          <w:szCs w:val="18"/>
        </w:rPr>
        <w:t>chemopreventive</w:t>
      </w:r>
      <w:proofErr w:type="spellEnd"/>
      <w:r w:rsidR="006E475B" w:rsidRPr="006E475B">
        <w:rPr>
          <w:rFonts w:eastAsiaTheme="minorHAnsi"/>
          <w:bCs/>
          <w:sz w:val="18"/>
          <w:szCs w:val="18"/>
        </w:rPr>
        <w:t xml:space="preserve"> anti-cancer agents specifically up-regulate and several pro-cancer agents (including glucose, insulin and other growth factors), specifically down-regulate expression of p27Kip1 without directly affecting the expression of any other G1-to-S phase cell cycle regulatory proteins including p21(Cip1Waf1).</w:t>
      </w:r>
    </w:p>
    <w:p w:rsidR="006E475B" w:rsidRPr="006E475B" w:rsidRDefault="005677B7" w:rsidP="006E475B">
      <w:pPr>
        <w:autoSpaceDE w:val="0"/>
        <w:autoSpaceDN w:val="0"/>
        <w:adjustRightInd w:val="0"/>
        <w:spacing w:line="200" w:lineRule="exact"/>
        <w:ind w:left="100"/>
        <w:jc w:val="both"/>
        <w:rPr>
          <w:rFonts w:eastAsiaTheme="minorHAnsi"/>
          <w:bCs/>
          <w:sz w:val="18"/>
          <w:szCs w:val="18"/>
        </w:rPr>
      </w:pPr>
      <w:r>
        <w:rPr>
          <w:rFonts w:eastAsiaTheme="minorHAnsi"/>
          <w:bCs/>
          <w:sz w:val="18"/>
          <w:szCs w:val="18"/>
        </w:rPr>
        <w:t xml:space="preserve">   </w:t>
      </w:r>
      <w:r w:rsidR="006E475B" w:rsidRPr="006E475B">
        <w:rPr>
          <w:rFonts w:eastAsiaTheme="minorHAnsi"/>
          <w:bCs/>
          <w:sz w:val="18"/>
          <w:szCs w:val="18"/>
        </w:rPr>
        <w:t>Second, expression of p27Kip1 is regulated primarily at the level of translation, not transcription. At least 4 different upstream signal transduction pathways have been identified so far that either down or up-regulate the translation of p27Kip1; hence the cancer risk in obese type 2 diabetic individuals.</w:t>
      </w:r>
    </w:p>
    <w:p w:rsidR="00AE3E37" w:rsidRDefault="00AE3E37">
      <w:pPr>
        <w:pStyle w:val="BodyText"/>
        <w:spacing w:before="90" w:line="280" w:lineRule="auto"/>
        <w:ind w:left="100"/>
        <w:jc w:val="both"/>
      </w:pPr>
    </w:p>
    <w:p w:rsidR="003111CD" w:rsidRPr="00B21A57" w:rsidRDefault="003111CD" w:rsidP="003111CD">
      <w:pPr>
        <w:spacing w:before="39"/>
        <w:ind w:left="100"/>
        <w:rPr>
          <w:rFonts w:ascii="Minion Pro"/>
          <w:b/>
          <w:sz w:val="20"/>
        </w:rPr>
      </w:pPr>
      <w:r w:rsidRPr="00B21A57">
        <w:rPr>
          <w:rFonts w:ascii="Minion Pro"/>
          <w:b/>
          <w:sz w:val="20"/>
        </w:rPr>
        <w:t>Notes/Comments:</w:t>
      </w:r>
    </w:p>
    <w:p w:rsidR="00AE3E37" w:rsidRDefault="00A9710C">
      <w:pPr>
        <w:pStyle w:val="Heading3"/>
        <w:spacing w:before="74"/>
      </w:pPr>
      <w:r>
        <w:rPr>
          <w:b w:val="0"/>
        </w:rPr>
        <w:br w:type="column"/>
      </w:r>
      <w:r>
        <w:rPr>
          <w:color w:val="BF5A14"/>
        </w:rPr>
        <w:t>Image</w:t>
      </w:r>
    </w:p>
    <w:p w:rsidR="00AE3E37" w:rsidRDefault="00163FA9">
      <w:pPr>
        <w:pStyle w:val="BodyText"/>
        <w:spacing w:before="2"/>
        <w:rPr>
          <w:rFonts w:ascii="Arial"/>
          <w:b/>
          <w:sz w:val="16"/>
        </w:rPr>
      </w:pPr>
      <w:r w:rsidRPr="00163FA9">
        <w:rPr>
          <w:rFonts w:ascii="Arial"/>
          <w:b/>
          <w:sz w:val="16"/>
        </w:rPr>
        <w:drawing>
          <wp:anchor distT="0" distB="0" distL="114300" distR="114300" simplePos="0" relativeHeight="251659264" behindDoc="0" locked="0" layoutInCell="1" allowOverlap="1" wp14:anchorId="666387CC" wp14:editId="135D972C">
            <wp:simplePos x="0" y="0"/>
            <wp:positionH relativeFrom="column">
              <wp:posOffset>-25984</wp:posOffset>
            </wp:positionH>
            <wp:positionV relativeFrom="paragraph">
              <wp:posOffset>53975</wp:posOffset>
            </wp:positionV>
            <wp:extent cx="3686861" cy="2326234"/>
            <wp:effectExtent l="0" t="0" r="8890" b="0"/>
            <wp:wrapNone/>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6861" cy="2326234"/>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163FA9">
      <w:pPr>
        <w:pStyle w:val="BodyText"/>
        <w:spacing w:before="2"/>
        <w:rPr>
          <w:rFonts w:ascii="Arial"/>
          <w:b/>
          <w:sz w:val="16"/>
        </w:rPr>
      </w:pPr>
      <w:r w:rsidRPr="00163FA9">
        <w:rPr>
          <w:rFonts w:ascii="Arial"/>
          <w:b/>
          <w:sz w:val="16"/>
        </w:rPr>
        <mc:AlternateContent>
          <mc:Choice Requires="wps">
            <w:drawing>
              <wp:anchor distT="0" distB="0" distL="114300" distR="114300" simplePos="0" relativeHeight="251660288" behindDoc="0" locked="0" layoutInCell="1" allowOverlap="1" wp14:anchorId="087D2258" wp14:editId="439B35A7">
                <wp:simplePos x="0" y="0"/>
                <wp:positionH relativeFrom="column">
                  <wp:posOffset>2425700</wp:posOffset>
                </wp:positionH>
                <wp:positionV relativeFrom="paragraph">
                  <wp:posOffset>28829</wp:posOffset>
                </wp:positionV>
                <wp:extent cx="1141171" cy="753466"/>
                <wp:effectExtent l="0" t="0" r="1905" b="8890"/>
                <wp:wrapNone/>
                <wp:docPr id="25"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171" cy="753466"/>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3FA9" w:rsidRDefault="00163FA9" w:rsidP="00163FA9">
                            <w:pPr>
                              <w:pStyle w:val="NormalWeb"/>
                              <w:spacing w:before="0" w:beforeAutospacing="0" w:after="0" w:afterAutospacing="0"/>
                              <w:jc w:val="center"/>
                            </w:pPr>
                            <w:r>
                              <w:rPr>
                                <w:rFonts w:asciiTheme="minorHAnsi" w:hAnsi="Calibri" w:cstheme="minorBidi"/>
                                <w:b/>
                                <w:bCs/>
                                <w:color w:val="FF0000"/>
                                <w:kern w:val="24"/>
                                <w:sz w:val="32"/>
                                <w:szCs w:val="32"/>
                              </w:rPr>
                              <w:t>Pro-</w:t>
                            </w:r>
                            <w:r>
                              <w:rPr>
                                <w:rFonts w:asciiTheme="minorHAnsi" w:hAnsi="Calibri" w:cstheme="minorBidi"/>
                                <w:b/>
                                <w:bCs/>
                                <w:color w:val="FF0000"/>
                                <w:kern w:val="24"/>
                                <w:sz w:val="32"/>
                                <w:szCs w:val="32"/>
                              </w:rPr>
                              <w:t>C</w:t>
                            </w:r>
                            <w:r>
                              <w:rPr>
                                <w:rFonts w:asciiTheme="minorHAnsi" w:hAnsi="Calibri" w:cstheme="minorBidi"/>
                                <w:b/>
                                <w:bCs/>
                                <w:color w:val="FF0000"/>
                                <w:kern w:val="24"/>
                                <w:sz w:val="32"/>
                                <w:szCs w:val="32"/>
                              </w:rPr>
                              <w:t>ancer</w:t>
                            </w:r>
                            <w:r>
                              <w:rPr>
                                <w:rFonts w:asciiTheme="minorHAnsi" w:hAnsi="Calibri" w:cstheme="minorBidi"/>
                                <w:b/>
                                <w:bCs/>
                                <w:color w:val="FF0000"/>
                                <w:kern w:val="24"/>
                                <w:sz w:val="32"/>
                                <w:szCs w:val="32"/>
                              </w:rPr>
                              <w:t xml:space="preserve"> Agents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191pt;margin-top:2.25pt;width:89.85pt;height:5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" fillcolor="white [3212]" stroked="f">
                <v:textbox>
                  <w:txbxContent>
                    <w:p w:rsidR="00163FA9" w:rsidRDefault="00163FA9" w:rsidP="00163FA9">
                      <w:pPr>
                        <w:pStyle w:val="NormalWeb"/>
                        <w:spacing w:before="0" w:beforeAutospacing="0" w:after="0" w:afterAutospacing="0"/>
                        <w:jc w:val="center"/>
                      </w:pPr>
                      <w:r>
                        <w:rPr>
                          <w:rFonts w:asciiTheme="minorHAnsi" w:hAnsi="Calibri" w:cstheme="minorBidi"/>
                          <w:b/>
                          <w:bCs/>
                          <w:color w:val="FF0000"/>
                          <w:kern w:val="24"/>
                          <w:sz w:val="32"/>
                          <w:szCs w:val="32"/>
                        </w:rPr>
                        <w:t>Pro-</w:t>
                      </w:r>
                      <w:r>
                        <w:rPr>
                          <w:rFonts w:asciiTheme="minorHAnsi" w:hAnsi="Calibri" w:cstheme="minorBidi"/>
                          <w:b/>
                          <w:bCs/>
                          <w:color w:val="FF0000"/>
                          <w:kern w:val="24"/>
                          <w:sz w:val="32"/>
                          <w:szCs w:val="32"/>
                        </w:rPr>
                        <w:t>C</w:t>
                      </w:r>
                      <w:r>
                        <w:rPr>
                          <w:rFonts w:asciiTheme="minorHAnsi" w:hAnsi="Calibri" w:cstheme="minorBidi"/>
                          <w:b/>
                          <w:bCs/>
                          <w:color w:val="FF0000"/>
                          <w:kern w:val="24"/>
                          <w:sz w:val="32"/>
                          <w:szCs w:val="32"/>
                        </w:rPr>
                        <w:t>ancer</w:t>
                      </w:r>
                      <w:r>
                        <w:rPr>
                          <w:rFonts w:asciiTheme="minorHAnsi" w:hAnsi="Calibri" w:cstheme="minorBidi"/>
                          <w:b/>
                          <w:bCs/>
                          <w:color w:val="FF0000"/>
                          <w:kern w:val="24"/>
                          <w:sz w:val="32"/>
                          <w:szCs w:val="32"/>
                        </w:rPr>
                        <w:t xml:space="preserve"> Agents</w:t>
                      </w:r>
                    </w:p>
                  </w:txbxContent>
                </v:textbox>
              </v:shape>
            </w:pict>
          </mc:Fallback>
        </mc:AlternateContent>
      </w: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163FA9">
      <w:pPr>
        <w:pStyle w:val="BodyText"/>
        <w:spacing w:before="2"/>
        <w:rPr>
          <w:rFonts w:ascii="Arial"/>
          <w:b/>
          <w:sz w:val="16"/>
        </w:rPr>
      </w:pPr>
      <w:r w:rsidRPr="00163FA9">
        <w:rPr>
          <w:rFonts w:ascii="Arial"/>
          <w:b/>
          <w:sz w:val="16"/>
        </w:rPr>
        <mc:AlternateContent>
          <mc:Choice Requires="wps">
            <w:drawing>
              <wp:anchor distT="0" distB="0" distL="114300" distR="114300" simplePos="0" relativeHeight="251662336" behindDoc="0" locked="0" layoutInCell="1" allowOverlap="1" wp14:anchorId="34661D89" wp14:editId="4C87F0C1">
                <wp:simplePos x="0" y="0"/>
                <wp:positionH relativeFrom="column">
                  <wp:posOffset>2242820</wp:posOffset>
                </wp:positionH>
                <wp:positionV relativeFrom="paragraph">
                  <wp:posOffset>10998</wp:posOffset>
                </wp:positionV>
                <wp:extent cx="401956" cy="416611"/>
                <wp:effectExtent l="38100" t="38100" r="17145" b="40640"/>
                <wp:wrapNone/>
                <wp:docPr id="27" name="Straight Arrow Connector 14"/>
                <wp:cNvGraphicFramePr/>
                <a:graphic xmlns:a="http://schemas.openxmlformats.org/drawingml/2006/main">
                  <a:graphicData uri="http://schemas.microsoft.com/office/word/2010/wordprocessingShape">
                    <wps:wsp>
                      <wps:cNvCnPr/>
                      <wps:spPr>
                        <a:xfrm flipH="1">
                          <a:off x="0" y="0"/>
                          <a:ext cx="401956" cy="416611"/>
                        </a:xfrm>
                        <a:prstGeom prst="straightConnector1">
                          <a:avLst/>
                        </a:prstGeom>
                        <a:ln w="762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176.6pt;margin-top:.85pt;width:31.65pt;height:32.8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" strokecolor="red" strokeweight="6pt">
                <v:stroke endarrow="open"/>
              </v:shape>
            </w:pict>
          </mc:Fallback>
        </mc:AlternateContent>
      </w: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163FA9">
      <w:pPr>
        <w:pStyle w:val="BodyText"/>
        <w:spacing w:before="2"/>
        <w:rPr>
          <w:rFonts w:ascii="Arial"/>
          <w:b/>
          <w:sz w:val="16"/>
        </w:rPr>
      </w:pPr>
      <w:r w:rsidRPr="00163FA9">
        <w:rPr>
          <w:rFonts w:ascii="Arial"/>
          <w:b/>
          <w:sz w:val="16"/>
        </w:rPr>
        <mc:AlternateContent>
          <mc:Choice Requires="wps">
            <w:drawing>
              <wp:anchor distT="0" distB="0" distL="114300" distR="114300" simplePos="0" relativeHeight="251661312" behindDoc="0" locked="0" layoutInCell="1" allowOverlap="1" wp14:anchorId="70CDE0C1" wp14:editId="25343EC1">
                <wp:simplePos x="0" y="0"/>
                <wp:positionH relativeFrom="column">
                  <wp:posOffset>2777490</wp:posOffset>
                </wp:positionH>
                <wp:positionV relativeFrom="paragraph">
                  <wp:posOffset>71755</wp:posOffset>
                </wp:positionV>
                <wp:extent cx="883920" cy="906780"/>
                <wp:effectExtent l="0" t="0" r="11430" b="26670"/>
                <wp:wrapNone/>
                <wp:docPr id="2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9067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63FA9" w:rsidRDefault="00163FA9" w:rsidP="00163FA9">
                            <w:pPr>
                              <w:pStyle w:val="NormalWeb"/>
                              <w:spacing w:before="0" w:beforeAutospacing="0" w:after="0" w:afterAutospacing="0"/>
                            </w:pPr>
                            <w:r>
                              <w:rPr>
                                <w:rFonts w:asciiTheme="minorHAnsi" w:hAnsi="Calibri" w:cstheme="minorBidi"/>
                                <w:b/>
                                <w:bCs/>
                                <w:color w:val="0066FF"/>
                                <w:kern w:val="24"/>
                              </w:rPr>
                              <w:t>Obese Type</w:t>
                            </w:r>
                            <w:r>
                              <w:rPr>
                                <w:rFonts w:asciiTheme="minorHAnsi" w:hAnsi="Calibri" w:cstheme="minorBidi"/>
                                <w:b/>
                                <w:bCs/>
                                <w:color w:val="0066FF"/>
                                <w:kern w:val="24"/>
                              </w:rPr>
                              <w:t xml:space="preserve"> 2 </w:t>
                            </w:r>
                            <w:r>
                              <w:rPr>
                                <w:rFonts w:asciiTheme="minorHAnsi" w:hAnsi="Calibri" w:cstheme="minorBidi"/>
                                <w:b/>
                                <w:bCs/>
                                <w:color w:val="0066FF"/>
                                <w:kern w:val="24"/>
                              </w:rPr>
                              <w:t>Diabetic</w:t>
                            </w:r>
                          </w:p>
                          <w:p w:rsidR="00163FA9" w:rsidRDefault="00163FA9" w:rsidP="00163FA9">
                            <w:pPr>
                              <w:pStyle w:val="NormalWeb"/>
                              <w:spacing w:before="0" w:beforeAutospacing="0" w:after="0" w:afterAutospacing="0"/>
                            </w:pPr>
                            <w:r>
                              <w:rPr>
                                <w:rFonts w:asciiTheme="minorHAnsi" w:hAnsi="Calibri" w:cstheme="minorBidi"/>
                                <w:b/>
                                <w:bCs/>
                                <w:color w:val="0066FF"/>
                                <w:kern w:val="24"/>
                              </w:rPr>
                              <w:t>Individuals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Box 7" o:spid="_x0000_s1027" type="#_x0000_t202" style="position:absolute;margin-left:218.7pt;margin-top:5.65pt;width:69.6pt;height:7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" filled="f">
                <v:textbox>
                  <w:txbxContent>
                    <w:p w:rsidR="00163FA9" w:rsidRDefault="00163FA9" w:rsidP="00163FA9">
                      <w:pPr>
                        <w:pStyle w:val="NormalWeb"/>
                        <w:spacing w:before="0" w:beforeAutospacing="0" w:after="0" w:afterAutospacing="0"/>
                      </w:pPr>
                      <w:r>
                        <w:rPr>
                          <w:rFonts w:asciiTheme="minorHAnsi" w:hAnsi="Calibri" w:cstheme="minorBidi"/>
                          <w:b/>
                          <w:bCs/>
                          <w:color w:val="0066FF"/>
                          <w:kern w:val="24"/>
                        </w:rPr>
                        <w:t>Obese Type</w:t>
                      </w:r>
                      <w:r>
                        <w:rPr>
                          <w:rFonts w:asciiTheme="minorHAnsi" w:hAnsi="Calibri" w:cstheme="minorBidi"/>
                          <w:b/>
                          <w:bCs/>
                          <w:color w:val="0066FF"/>
                          <w:kern w:val="24"/>
                        </w:rPr>
                        <w:t xml:space="preserve"> 2 </w:t>
                      </w:r>
                      <w:r>
                        <w:rPr>
                          <w:rFonts w:asciiTheme="minorHAnsi" w:hAnsi="Calibri" w:cstheme="minorBidi"/>
                          <w:b/>
                          <w:bCs/>
                          <w:color w:val="0066FF"/>
                          <w:kern w:val="24"/>
                        </w:rPr>
                        <w:t>Diabetic</w:t>
                      </w:r>
                    </w:p>
                    <w:p w:rsidR="00163FA9" w:rsidRDefault="00163FA9" w:rsidP="00163FA9">
                      <w:pPr>
                        <w:pStyle w:val="NormalWeb"/>
                        <w:spacing w:before="0" w:beforeAutospacing="0" w:after="0" w:afterAutospacing="0"/>
                      </w:pPr>
                      <w:r>
                        <w:rPr>
                          <w:rFonts w:asciiTheme="minorHAnsi" w:hAnsi="Calibri" w:cstheme="minorBidi"/>
                          <w:b/>
                          <w:bCs/>
                          <w:color w:val="0066FF"/>
                          <w:kern w:val="24"/>
                        </w:rPr>
                        <w:t>Individuals</w:t>
                      </w:r>
                    </w:p>
                  </w:txbxContent>
                </v:textbox>
              </v:shape>
            </w:pict>
          </mc:Fallback>
        </mc:AlternateContent>
      </w: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163FA9">
      <w:pPr>
        <w:pStyle w:val="BodyText"/>
        <w:spacing w:before="2"/>
        <w:rPr>
          <w:rFonts w:ascii="Arial"/>
          <w:b/>
          <w:sz w:val="16"/>
        </w:rPr>
      </w:pPr>
    </w:p>
    <w:p w:rsidR="00163FA9" w:rsidRDefault="005973B9" w:rsidP="004F49B7">
      <w:pPr>
        <w:spacing w:line="204" w:lineRule="exact"/>
        <w:rPr>
          <w:rFonts w:ascii="Arial"/>
          <w:b/>
          <w:color w:val="BF5A14"/>
          <w:sz w:val="20"/>
        </w:rPr>
      </w:pPr>
      <w:r>
        <w:rPr>
          <w:rFonts w:ascii="Arial"/>
          <w:b/>
          <w:color w:val="BF5A14"/>
          <w:sz w:val="20"/>
        </w:rPr>
        <w:br/>
      </w:r>
    </w:p>
    <w:p w:rsidR="00163FA9" w:rsidRDefault="00163FA9" w:rsidP="004F49B7">
      <w:pPr>
        <w:spacing w:line="204" w:lineRule="exact"/>
        <w:rPr>
          <w:rFonts w:ascii="Arial"/>
          <w:b/>
          <w:color w:val="BF5A14"/>
          <w:sz w:val="20"/>
        </w:rPr>
      </w:pPr>
    </w:p>
    <w:p w:rsidR="00163FA9" w:rsidRDefault="00163FA9" w:rsidP="004F49B7">
      <w:pPr>
        <w:spacing w:line="204" w:lineRule="exact"/>
        <w:rPr>
          <w:rFonts w:ascii="Arial"/>
          <w:b/>
          <w:color w:val="BF5A14"/>
          <w:sz w:val="20"/>
        </w:rPr>
      </w:pPr>
    </w:p>
    <w:p w:rsidR="00163FA9" w:rsidRDefault="00163FA9" w:rsidP="004F49B7">
      <w:pPr>
        <w:spacing w:line="204" w:lineRule="exact"/>
        <w:rPr>
          <w:rFonts w:ascii="Arial"/>
          <w:b/>
          <w:color w:val="BF5A14"/>
          <w:sz w:val="20"/>
        </w:rPr>
      </w:pPr>
    </w:p>
    <w:p w:rsidR="00163FA9" w:rsidRDefault="00163FA9" w:rsidP="004F49B7">
      <w:pPr>
        <w:spacing w:line="204" w:lineRule="exact"/>
        <w:rPr>
          <w:rFonts w:ascii="Arial"/>
          <w:b/>
          <w:color w:val="BF5A14"/>
          <w:sz w:val="20"/>
        </w:rPr>
      </w:pPr>
    </w:p>
    <w:p w:rsidR="004F49B7" w:rsidRDefault="005973B9" w:rsidP="004F49B7">
      <w:pPr>
        <w:spacing w:line="204" w:lineRule="exact"/>
        <w:rPr>
          <w:rFonts w:ascii="Arial"/>
          <w:b/>
          <w:color w:val="BF5A14"/>
          <w:sz w:val="20"/>
        </w:rPr>
      </w:pPr>
      <w:r>
        <w:rPr>
          <w:rFonts w:ascii="Arial"/>
          <w:b/>
          <w:color w:val="BF5A14"/>
          <w:sz w:val="20"/>
        </w:rPr>
        <w:t>Recent Publications (minimum 5)</w:t>
      </w:r>
    </w:p>
    <w:p w:rsidR="00163FA9" w:rsidRPr="00163FA9" w:rsidRDefault="005A1587" w:rsidP="0092283F">
      <w:pPr>
        <w:pStyle w:val="ListParagraph"/>
        <w:widowControl/>
        <w:numPr>
          <w:ilvl w:val="0"/>
          <w:numId w:val="3"/>
        </w:numPr>
        <w:tabs>
          <w:tab w:val="left" w:pos="384"/>
        </w:tabs>
        <w:spacing w:before="103" w:after="240" w:line="216" w:lineRule="exact"/>
        <w:ind w:right="138"/>
        <w:rPr>
          <w:rFonts w:asciiTheme="minorHAnsi" w:hAnsiTheme="minorHAnsi"/>
          <w:sz w:val="18"/>
        </w:rPr>
      </w:pPr>
      <w:proofErr w:type="gramStart"/>
      <w:r w:rsidRPr="00163FA9">
        <w:rPr>
          <w:sz w:val="18"/>
          <w:szCs w:val="18"/>
          <w:lang w:val="en"/>
        </w:rPr>
        <w:t>Eto</w:t>
      </w:r>
      <w:proofErr w:type="gramEnd"/>
      <w:r w:rsidRPr="00163FA9">
        <w:rPr>
          <w:sz w:val="18"/>
          <w:szCs w:val="18"/>
          <w:lang w:val="en"/>
        </w:rPr>
        <w:t xml:space="preserve"> I</w:t>
      </w:r>
      <w:r w:rsidRPr="00163FA9">
        <w:rPr>
          <w:sz w:val="18"/>
          <w:szCs w:val="18"/>
          <w:lang w:val="en"/>
        </w:rPr>
        <w:t xml:space="preserve"> (2006)</w:t>
      </w:r>
      <w:r w:rsidRPr="00163FA9">
        <w:rPr>
          <w:sz w:val="18"/>
          <w:szCs w:val="18"/>
          <w:lang w:val="en"/>
        </w:rPr>
        <w:t xml:space="preserve"> Nutritional and </w:t>
      </w:r>
      <w:proofErr w:type="spellStart"/>
      <w:r w:rsidRPr="00163FA9">
        <w:rPr>
          <w:sz w:val="18"/>
          <w:szCs w:val="18"/>
          <w:lang w:val="en"/>
        </w:rPr>
        <w:t>chemopreventive</w:t>
      </w:r>
      <w:proofErr w:type="spellEnd"/>
      <w:r w:rsidRPr="00163FA9">
        <w:rPr>
          <w:sz w:val="18"/>
          <w:szCs w:val="18"/>
          <w:lang w:val="en"/>
        </w:rPr>
        <w:t xml:space="preserve"> anti-cancer agents up-regulate expression of p27Kip1, a cyclin-dependent kinase inhibitor, in mouse JB6 epidermal and human MCF7, MDA-MB-321 and AU565 breast cancer cells. Cancer Cell Int</w:t>
      </w:r>
      <w:r w:rsidRPr="00163FA9">
        <w:rPr>
          <w:sz w:val="18"/>
          <w:szCs w:val="18"/>
          <w:lang w:val="en"/>
        </w:rPr>
        <w:t>ernational</w:t>
      </w:r>
      <w:r w:rsidRPr="00163FA9">
        <w:rPr>
          <w:sz w:val="18"/>
          <w:szCs w:val="18"/>
          <w:lang w:val="en"/>
        </w:rPr>
        <w:t xml:space="preserve"> 6: 20-10.1186/1475-2867-6-20. (pp. 1-19)</w:t>
      </w:r>
      <w:r w:rsidRPr="00163FA9">
        <w:rPr>
          <w:sz w:val="18"/>
          <w:szCs w:val="18"/>
          <w:lang w:val="en"/>
        </w:rPr>
        <w:t xml:space="preserve"> </w:t>
      </w:r>
    </w:p>
    <w:p w:rsidR="005A1587" w:rsidRPr="00163FA9" w:rsidRDefault="005A1587" w:rsidP="0092283F">
      <w:pPr>
        <w:pStyle w:val="ListParagraph"/>
        <w:widowControl/>
        <w:numPr>
          <w:ilvl w:val="0"/>
          <w:numId w:val="3"/>
        </w:numPr>
        <w:tabs>
          <w:tab w:val="left" w:pos="384"/>
        </w:tabs>
        <w:spacing w:before="103" w:after="240" w:line="216" w:lineRule="exact"/>
        <w:ind w:right="138"/>
        <w:rPr>
          <w:rFonts w:asciiTheme="minorHAnsi" w:hAnsiTheme="minorHAnsi"/>
          <w:sz w:val="18"/>
        </w:rPr>
      </w:pPr>
      <w:r w:rsidRPr="00163FA9">
        <w:rPr>
          <w:sz w:val="18"/>
          <w:szCs w:val="18"/>
          <w:lang w:val="en"/>
        </w:rPr>
        <w:t>Eto I</w:t>
      </w:r>
      <w:r w:rsidRPr="00163FA9">
        <w:rPr>
          <w:sz w:val="18"/>
          <w:szCs w:val="18"/>
          <w:lang w:val="en"/>
        </w:rPr>
        <w:t xml:space="preserve"> (2010)</w:t>
      </w:r>
      <w:r w:rsidRPr="00163FA9">
        <w:rPr>
          <w:sz w:val="18"/>
          <w:szCs w:val="18"/>
          <w:lang w:val="en"/>
        </w:rPr>
        <w:t xml:space="preserve"> Upstream molecular signaling pathways of </w:t>
      </w:r>
      <w:proofErr w:type="gramStart"/>
      <w:r w:rsidRPr="00163FA9">
        <w:rPr>
          <w:sz w:val="18"/>
          <w:szCs w:val="18"/>
          <w:lang w:val="en"/>
        </w:rPr>
        <w:t>p27(</w:t>
      </w:r>
      <w:proofErr w:type="gramEnd"/>
      <w:r w:rsidRPr="00163FA9">
        <w:rPr>
          <w:sz w:val="18"/>
          <w:szCs w:val="18"/>
          <w:lang w:val="en"/>
        </w:rPr>
        <w:t>Kip1) expression: Effects of 4-hydroxytamoxifen, dexamethasone, and retinoic acids. Cancer Cell Int</w:t>
      </w:r>
      <w:r w:rsidRPr="00163FA9">
        <w:rPr>
          <w:sz w:val="18"/>
          <w:szCs w:val="18"/>
          <w:lang w:val="en"/>
        </w:rPr>
        <w:t>ernational</w:t>
      </w:r>
      <w:r w:rsidRPr="00163FA9">
        <w:rPr>
          <w:sz w:val="18"/>
          <w:szCs w:val="18"/>
          <w:lang w:val="en"/>
        </w:rPr>
        <w:t xml:space="preserve"> 10: 3-10.1186/1475-2867-10-3. (pp. 1-19)</w:t>
      </w:r>
    </w:p>
    <w:p w:rsidR="0092283F" w:rsidRPr="005A1587" w:rsidRDefault="0092283F" w:rsidP="0092283F">
      <w:pPr>
        <w:pStyle w:val="ListParagraph"/>
        <w:widowControl/>
        <w:numPr>
          <w:ilvl w:val="0"/>
          <w:numId w:val="3"/>
        </w:numPr>
        <w:tabs>
          <w:tab w:val="left" w:pos="384"/>
        </w:tabs>
        <w:spacing w:before="103" w:after="240" w:line="216" w:lineRule="exact"/>
        <w:ind w:right="138"/>
        <w:rPr>
          <w:rFonts w:asciiTheme="minorHAnsi" w:hAnsiTheme="minorHAnsi"/>
          <w:sz w:val="18"/>
        </w:rPr>
      </w:pPr>
      <w:proofErr w:type="gramStart"/>
      <w:r w:rsidRPr="005A1587">
        <w:rPr>
          <w:rFonts w:asciiTheme="minorHAnsi" w:hAnsiTheme="minorHAnsi"/>
          <w:sz w:val="18"/>
        </w:rPr>
        <w:t>Eto</w:t>
      </w:r>
      <w:proofErr w:type="gramEnd"/>
      <w:r w:rsidRPr="005A1587">
        <w:rPr>
          <w:rFonts w:asciiTheme="minorHAnsi" w:hAnsiTheme="minorHAnsi"/>
          <w:sz w:val="18"/>
        </w:rPr>
        <w:t xml:space="preserve"> I (2011) </w:t>
      </w:r>
      <w:r w:rsidR="00B406DA" w:rsidRPr="005A1587">
        <w:rPr>
          <w:rFonts w:asciiTheme="minorHAnsi" w:hAnsiTheme="minorHAnsi"/>
          <w:sz w:val="18"/>
          <w:lang w:val="en"/>
        </w:rPr>
        <w:t xml:space="preserve">Upstream molecular signaling pathways of p27 (Kip1) expression in human breast cancer cells </w:t>
      </w:r>
      <w:r w:rsidR="00B406DA" w:rsidRPr="005A1587">
        <w:rPr>
          <w:rFonts w:asciiTheme="minorHAnsi" w:hAnsiTheme="minorHAnsi"/>
          <w:i/>
          <w:iCs/>
          <w:sz w:val="18"/>
          <w:lang w:val="en"/>
        </w:rPr>
        <w:t>in vitro</w:t>
      </w:r>
      <w:r w:rsidR="00B406DA" w:rsidRPr="005A1587">
        <w:rPr>
          <w:rFonts w:asciiTheme="minorHAnsi" w:hAnsiTheme="minorHAnsi"/>
          <w:sz w:val="18"/>
          <w:lang w:val="en"/>
        </w:rPr>
        <w:t xml:space="preserve">: differential effects of 4-hydroxytamoxifen and deficiency of either D-(+)-glucose or L-leucine. Cancer Cell International </w:t>
      </w:r>
      <w:r w:rsidR="005A1587" w:rsidRPr="004F49B7">
        <w:rPr>
          <w:rFonts w:eastAsia="Times New Roman" w:cs="Times New Roman"/>
          <w:bCs/>
          <w:color w:val="666666"/>
          <w:sz w:val="18"/>
          <w:szCs w:val="18"/>
          <w:lang w:val="en"/>
        </w:rPr>
        <w:t>11</w:t>
      </w:r>
      <w:r w:rsidR="005A1587" w:rsidRPr="005A1587">
        <w:rPr>
          <w:rFonts w:eastAsia="Times New Roman" w:cs="Times New Roman"/>
          <w:color w:val="666666"/>
          <w:sz w:val="18"/>
          <w:szCs w:val="18"/>
          <w:lang w:val="en"/>
        </w:rPr>
        <w:t>:</w:t>
      </w:r>
      <w:r w:rsidR="005A1587" w:rsidRPr="005A1587">
        <w:rPr>
          <w:rFonts w:eastAsia="Times New Roman" w:cs="Times New Roman"/>
          <w:sz w:val="18"/>
          <w:szCs w:val="18"/>
          <w:lang w:val="en"/>
        </w:rPr>
        <w:t>31-10.1186/1475-2867-11-31 (pp. 1-19</w:t>
      </w:r>
      <w:r w:rsidR="005A1587" w:rsidRPr="005A1587">
        <w:rPr>
          <w:rFonts w:eastAsia="Times New Roman" w:cs="Times New Roman"/>
          <w:sz w:val="18"/>
          <w:szCs w:val="18"/>
          <w:lang w:val="en"/>
        </w:rPr>
        <w:softHyphen/>
      </w:r>
      <w:r w:rsidR="005A1587" w:rsidRPr="005A1587">
        <w:rPr>
          <w:rFonts w:eastAsia="Times New Roman" w:cs="Times New Roman"/>
          <w:sz w:val="18"/>
          <w:szCs w:val="18"/>
          <w:lang w:val="en"/>
        </w:rPr>
        <w:softHyphen/>
        <w:t>).</w:t>
      </w:r>
    </w:p>
    <w:p w:rsidR="0092283F" w:rsidRPr="0092283F" w:rsidRDefault="0092283F" w:rsidP="0092283F">
      <w:pPr>
        <w:pStyle w:val="ListParagraph"/>
        <w:numPr>
          <w:ilvl w:val="0"/>
          <w:numId w:val="3"/>
        </w:numPr>
        <w:tabs>
          <w:tab w:val="left" w:pos="384"/>
        </w:tabs>
        <w:spacing w:before="103" w:line="216" w:lineRule="exact"/>
        <w:ind w:right="138"/>
        <w:rPr>
          <w:rFonts w:asciiTheme="minorHAnsi" w:hAnsiTheme="minorHAnsi"/>
          <w:sz w:val="18"/>
        </w:rPr>
      </w:pPr>
      <w:proofErr w:type="gramStart"/>
      <w:r w:rsidRPr="0092283F">
        <w:rPr>
          <w:rFonts w:asciiTheme="minorHAnsi" w:hAnsiTheme="minorHAnsi"/>
          <w:sz w:val="18"/>
        </w:rPr>
        <w:t>Eto</w:t>
      </w:r>
      <w:proofErr w:type="gramEnd"/>
      <w:r w:rsidRPr="0092283F">
        <w:rPr>
          <w:rFonts w:asciiTheme="minorHAnsi" w:hAnsiTheme="minorHAnsi"/>
          <w:sz w:val="18"/>
        </w:rPr>
        <w:t xml:space="preserve"> I (2013) Expression of p27Kip1, a cell cycle repressor protein, is inversely associated with potential carcinogenic risk in the genetic rodent models of obesity and long-lived Ames dwarf mice</w:t>
      </w:r>
      <w:r>
        <w:rPr>
          <w:rFonts w:asciiTheme="minorHAnsi" w:hAnsiTheme="minorHAnsi"/>
          <w:sz w:val="18"/>
        </w:rPr>
        <w:t xml:space="preserve">. </w:t>
      </w:r>
      <w:r w:rsidRPr="0092283F">
        <w:rPr>
          <w:rFonts w:asciiTheme="minorHAnsi" w:hAnsiTheme="minorHAnsi"/>
          <w:sz w:val="18"/>
        </w:rPr>
        <w:t xml:space="preserve"> </w:t>
      </w:r>
      <w:r>
        <w:rPr>
          <w:sz w:val="18"/>
        </w:rPr>
        <w:t>Metabolism Clinical and Experimental 62; 873-887.</w:t>
      </w:r>
    </w:p>
    <w:p w:rsidR="00AE3E37" w:rsidRPr="00163FA9" w:rsidRDefault="005677B7" w:rsidP="00163FA9">
      <w:pPr>
        <w:pStyle w:val="ListParagraph"/>
        <w:numPr>
          <w:ilvl w:val="0"/>
          <w:numId w:val="3"/>
        </w:numPr>
        <w:tabs>
          <w:tab w:val="left" w:pos="384"/>
        </w:tabs>
        <w:spacing w:before="103"/>
        <w:ind w:right="138"/>
        <w:sectPr w:rsidR="00AE3E37" w:rsidRPr="00163FA9">
          <w:type w:val="continuous"/>
          <w:pgSz w:w="11910" w:h="16840"/>
          <w:pgMar w:top="1740" w:right="600" w:bottom="840" w:left="620" w:header="720" w:footer="720" w:gutter="0"/>
          <w:cols w:num="2" w:space="720" w:equalWidth="0">
            <w:col w:w="5214" w:space="138"/>
            <w:col w:w="5338"/>
          </w:cols>
        </w:sectPr>
      </w:pPr>
      <w:r w:rsidRPr="00163FA9">
        <w:rPr>
          <w:sz w:val="18"/>
        </w:rPr>
        <w:t>Eto I</w:t>
      </w:r>
      <w:r w:rsidR="005973B9" w:rsidRPr="00163FA9">
        <w:rPr>
          <w:sz w:val="18"/>
        </w:rPr>
        <w:t xml:space="preserve"> (20</w:t>
      </w:r>
      <w:r w:rsidRPr="00163FA9">
        <w:rPr>
          <w:sz w:val="18"/>
        </w:rPr>
        <w:t>14</w:t>
      </w:r>
      <w:r w:rsidR="005973B9" w:rsidRPr="00163FA9">
        <w:rPr>
          <w:sz w:val="18"/>
        </w:rPr>
        <w:t xml:space="preserve">) </w:t>
      </w:r>
      <w:r w:rsidRPr="00163FA9">
        <w:rPr>
          <w:sz w:val="18"/>
        </w:rPr>
        <w:t>Expression of p27(Kip1), a</w:t>
      </w:r>
      <w:r w:rsidRPr="00163FA9">
        <w:rPr>
          <w:sz w:val="18"/>
        </w:rPr>
        <w:t xml:space="preserve"> c</w:t>
      </w:r>
      <w:r w:rsidRPr="00163FA9">
        <w:rPr>
          <w:sz w:val="18"/>
        </w:rPr>
        <w:t>yclin-Dependent Kinase Inhibitor, in</w:t>
      </w:r>
      <w:r w:rsidRPr="00163FA9">
        <w:rPr>
          <w:sz w:val="18"/>
        </w:rPr>
        <w:t xml:space="preserve"> </w:t>
      </w:r>
      <w:r w:rsidRPr="00163FA9">
        <w:rPr>
          <w:sz w:val="18"/>
        </w:rPr>
        <w:t>Human Peripheral Blood Mononuclear Cells</w:t>
      </w:r>
      <w:r w:rsidRPr="00163FA9">
        <w:rPr>
          <w:sz w:val="18"/>
        </w:rPr>
        <w:t xml:space="preserve"> </w:t>
      </w:r>
      <w:r w:rsidRPr="00163FA9">
        <w:rPr>
          <w:sz w:val="18"/>
        </w:rPr>
        <w:t>Is Inversely Associated with Potential</w:t>
      </w:r>
      <w:r w:rsidRPr="00163FA9">
        <w:rPr>
          <w:sz w:val="18"/>
        </w:rPr>
        <w:t xml:space="preserve"> </w:t>
      </w:r>
      <w:r w:rsidRPr="00163FA9">
        <w:rPr>
          <w:sz w:val="18"/>
        </w:rPr>
        <w:t>Carcinogenic Risk in Obese Type 2 Diabetic</w:t>
      </w:r>
      <w:r w:rsidRPr="00163FA9">
        <w:rPr>
          <w:sz w:val="18"/>
        </w:rPr>
        <w:t xml:space="preserve"> </w:t>
      </w:r>
      <w:r w:rsidRPr="00163FA9">
        <w:rPr>
          <w:sz w:val="18"/>
        </w:rPr>
        <w:t>Individuals Relative to Lean</w:t>
      </w:r>
      <w:r w:rsidRPr="00163FA9">
        <w:rPr>
          <w:sz w:val="18"/>
        </w:rPr>
        <w:t xml:space="preserve"> </w:t>
      </w:r>
      <w:r w:rsidRPr="00163FA9">
        <w:rPr>
          <w:sz w:val="18"/>
        </w:rPr>
        <w:t>Normal Controls</w:t>
      </w:r>
      <w:r w:rsidR="0092283F" w:rsidRPr="00163FA9">
        <w:rPr>
          <w:sz w:val="18"/>
        </w:rPr>
        <w:t xml:space="preserve">. </w:t>
      </w:r>
      <w:r w:rsidR="0092283F" w:rsidRPr="00163FA9">
        <w:rPr>
          <w:rFonts w:asciiTheme="minorHAnsi" w:eastAsiaTheme="minorHAnsi" w:hAnsiTheme="minorHAnsi" w:cs="Calibri-Bold"/>
          <w:bCs/>
          <w:sz w:val="18"/>
          <w:szCs w:val="18"/>
        </w:rPr>
        <w:t>American Journal of Molecular Biology 4</w:t>
      </w:r>
      <w:r w:rsidR="0092283F" w:rsidRPr="00163FA9">
        <w:rPr>
          <w:rFonts w:asciiTheme="minorHAnsi" w:eastAsiaTheme="minorHAnsi" w:hAnsiTheme="minorHAnsi" w:cs="Calibri-Bold"/>
          <w:bCs/>
          <w:sz w:val="18"/>
          <w:szCs w:val="18"/>
        </w:rPr>
        <w:t>:</w:t>
      </w:r>
      <w:r w:rsidR="0092283F" w:rsidRPr="00163FA9">
        <w:rPr>
          <w:rFonts w:asciiTheme="minorHAnsi" w:eastAsiaTheme="minorHAnsi" w:hAnsiTheme="minorHAnsi" w:cs="Calibri-Bold"/>
          <w:bCs/>
          <w:sz w:val="18"/>
          <w:szCs w:val="18"/>
        </w:rPr>
        <w:t>114-128</w:t>
      </w:r>
      <w:r w:rsidR="00163FA9">
        <w:rPr>
          <w:rFonts w:asciiTheme="minorHAnsi" w:eastAsiaTheme="minorHAnsi" w:hAnsiTheme="minorHAnsi" w:cs="Calibri-Bold"/>
          <w:bCs/>
          <w:sz w:val="18"/>
          <w:szCs w:val="18"/>
        </w:rPr>
        <w:t>.</w:t>
      </w:r>
      <w:r w:rsidR="008756E6" w:rsidRPr="00163FA9">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D9B3F2" wp14:editId="4CD928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5751">
        <w:rPr>
          <w:noProof/>
        </w:rPr>
        <w:drawing>
          <wp:inline distT="0" distB="0" distL="0" distR="0">
            <wp:extent cx="563270" cy="621680"/>
            <wp:effectExtent l="0" t="0" r="8255" b="6985"/>
            <wp:docPr id="2" name="Picture 2" descr="C:\Users\Etoi\Desktop\Isao Et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oi\Desktop\Isao Eto 201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434" cy="62186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E475B" w:rsidRPr="006E475B" w:rsidRDefault="006E475B" w:rsidP="006E475B">
      <w:pPr>
        <w:autoSpaceDE w:val="0"/>
        <w:autoSpaceDN w:val="0"/>
        <w:adjustRightInd w:val="0"/>
        <w:spacing w:line="200" w:lineRule="exact"/>
        <w:ind w:left="213"/>
        <w:rPr>
          <w:rFonts w:ascii="Arial" w:eastAsia="SimSun" w:hAnsi="Arial" w:cs="Arial"/>
          <w:bCs/>
          <w:color w:val="181512"/>
          <w:sz w:val="14"/>
          <w:szCs w:val="14"/>
          <w:lang w:eastAsia="zh-CN"/>
        </w:rPr>
      </w:pPr>
      <w:r w:rsidRPr="006E475B">
        <w:rPr>
          <w:rFonts w:ascii="Arial" w:hAnsi="Arial" w:cs="Arial"/>
          <w:bCs/>
          <w:color w:val="181512"/>
          <w:sz w:val="14"/>
          <w:szCs w:val="14"/>
        </w:rPr>
        <w:t xml:space="preserve">Isao </w:t>
      </w:r>
      <w:proofErr w:type="gramStart"/>
      <w:r w:rsidRPr="006E475B">
        <w:rPr>
          <w:rFonts w:ascii="Arial" w:hAnsi="Arial" w:cs="Arial"/>
          <w:bCs/>
          <w:color w:val="181512"/>
          <w:sz w:val="14"/>
          <w:szCs w:val="14"/>
        </w:rPr>
        <w:t>Eto</w:t>
      </w:r>
      <w:proofErr w:type="gramEnd"/>
      <w:r w:rsidRPr="006E475B">
        <w:rPr>
          <w:rFonts w:ascii="Arial" w:hAnsi="Arial" w:cs="Arial"/>
          <w:bCs/>
          <w:color w:val="181512"/>
          <w:sz w:val="14"/>
          <w:szCs w:val="14"/>
        </w:rPr>
        <w:t>, Associate Professor in the Biochemistry Division of the Department of Nutrition Sciences, University of Alabama at Birmingham, USA, grew up in Japan and received his Bachelor's degree in physiological chemistry from the Tokyo Metropolitan University in 1971. After he obtained his Ph.D. degree in the Microbial Biochemistry from the University of Alabama at Birmingham in 1976, he received Postdoctoral training in Cellular Immunology at the University of California San Francisco for one year. Subsequently, he was appointed Research Associate in 1977 and then Adjunct Assistant Professor in 1978 at the Department of Pathology, Showa University School of Medicine in Tokyo, Japan.  In 1979, he joined the Biochemistry Division of the Department of Nutrition Sciences at the University of Alabama at Birmingham, USA</w:t>
      </w:r>
    </w:p>
    <w:p w:rsidR="00AE3E37" w:rsidRDefault="00A9710C">
      <w:pPr>
        <w:spacing w:before="62"/>
        <w:ind w:left="4217" w:right="4235"/>
        <w:jc w:val="center"/>
        <w:rPr>
          <w:rFonts w:ascii="Arial"/>
          <w:sz w:val="14"/>
        </w:rPr>
      </w:pPr>
      <w:r>
        <w:rPr>
          <w:rFonts w:ascii="Arial"/>
          <w:sz w:val="14"/>
        </w:rPr>
        <w:t xml:space="preserve">Email: </w:t>
      </w:r>
      <w:hyperlink r:id="rId12" w:history="1">
        <w:r w:rsidR="005A1587" w:rsidRPr="00A6538B">
          <w:rPr>
            <w:rStyle w:val="Hyperlink"/>
            <w:rFonts w:ascii="Arial"/>
            <w:sz w:val="14"/>
          </w:rPr>
          <w:t>drXXXXXXX@xxxmail.com</w:t>
        </w:r>
      </w:hyperlink>
    </w:p>
    <w:bookmarkStart w:id="0" w:name="_GoBack"/>
    <w:bookmarkEnd w:id="0"/>
    <w:p w:rsidR="00AE3E37" w:rsidRDefault="00292ED9" w:rsidP="003111CD">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w:lastRenderedPageBreak/>
        <mc:AlternateContent>
          <mc:Choice Requires="wps">
            <w:drawing>
              <wp:anchor distT="0" distB="0" distL="0" distR="0" simplePos="0" relativeHeight="1072" behindDoc="0" locked="0" layoutInCell="1" allowOverlap="1" wp14:anchorId="00C71E7B" wp14:editId="71E90F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A9BE590" wp14:editId="79C2C6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04B48AF" wp14:editId="233049F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E91CA18" wp14:editId="0A02B3E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56F6A35" wp14:editId="5E4A4A5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312082D" wp14:editId="45D07EC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4237A6"/>
    <w:multiLevelType w:val="multilevel"/>
    <w:tmpl w:val="3070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3FA9"/>
    <w:rsid w:val="002455EC"/>
    <w:rsid w:val="00292ED9"/>
    <w:rsid w:val="003111CD"/>
    <w:rsid w:val="00404E5B"/>
    <w:rsid w:val="00414F7B"/>
    <w:rsid w:val="004355DC"/>
    <w:rsid w:val="004749B4"/>
    <w:rsid w:val="00494130"/>
    <w:rsid w:val="00494513"/>
    <w:rsid w:val="004F3523"/>
    <w:rsid w:val="004F49B7"/>
    <w:rsid w:val="005677B7"/>
    <w:rsid w:val="005973B9"/>
    <w:rsid w:val="005A1587"/>
    <w:rsid w:val="005B3A56"/>
    <w:rsid w:val="006060CE"/>
    <w:rsid w:val="0063497F"/>
    <w:rsid w:val="00691F56"/>
    <w:rsid w:val="006E475B"/>
    <w:rsid w:val="00873DF0"/>
    <w:rsid w:val="008756E6"/>
    <w:rsid w:val="008A08B6"/>
    <w:rsid w:val="0092283F"/>
    <w:rsid w:val="009B2D44"/>
    <w:rsid w:val="00A07E82"/>
    <w:rsid w:val="00A95751"/>
    <w:rsid w:val="00A9710C"/>
    <w:rsid w:val="00AE3E37"/>
    <w:rsid w:val="00B21A57"/>
    <w:rsid w:val="00B406DA"/>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occurrence2">
    <w:name w:val="occurrence2"/>
    <w:basedOn w:val="DefaultParagraphFont"/>
    <w:rsid w:val="005A1587"/>
  </w:style>
  <w:style w:type="character" w:styleId="Strong">
    <w:name w:val="Strong"/>
    <w:basedOn w:val="DefaultParagraphFont"/>
    <w:uiPriority w:val="22"/>
    <w:qFormat/>
    <w:rsid w:val="005A1587"/>
    <w:rPr>
      <w:b/>
      <w:bCs/>
    </w:rPr>
  </w:style>
  <w:style w:type="paragraph" w:customStyle="1" w:styleId="articledoi1">
    <w:name w:val="articledoi1"/>
    <w:basedOn w:val="Normal"/>
    <w:rsid w:val="005A1587"/>
    <w:pPr>
      <w:widowControl/>
      <w:pBdr>
        <w:right w:val="single" w:sz="6" w:space="6" w:color="DCDCDC"/>
      </w:pBdr>
      <w:spacing w:before="100" w:beforeAutospacing="1"/>
      <w:ind w:right="120"/>
    </w:pPr>
    <w:rPr>
      <w:rFonts w:ascii="Times New Roman" w:eastAsia="Times New Roman" w:hAnsi="Times New Roman" w:cs="Times New Roman"/>
      <w:color w:val="666666"/>
      <w:sz w:val="24"/>
      <w:szCs w:val="24"/>
    </w:rPr>
  </w:style>
  <w:style w:type="character" w:customStyle="1" w:styleId="articlecitationvolume1">
    <w:name w:val="articlecitation_volume1"/>
    <w:basedOn w:val="DefaultParagraphFont"/>
    <w:rsid w:val="005A1587"/>
    <w:rPr>
      <w:vanish w:val="0"/>
      <w:webHidden w:val="0"/>
      <w:specVanish w:val="0"/>
    </w:rPr>
  </w:style>
  <w:style w:type="paragraph" w:styleId="NormalWeb">
    <w:name w:val="Normal (Web)"/>
    <w:basedOn w:val="Normal"/>
    <w:uiPriority w:val="99"/>
    <w:semiHidden/>
    <w:unhideWhenUsed/>
    <w:rsid w:val="00163FA9"/>
    <w:pPr>
      <w:widowControl/>
      <w:spacing w:before="100" w:beforeAutospacing="1" w:after="100" w:afterAutospacing="1"/>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occurrence2">
    <w:name w:val="occurrence2"/>
    <w:basedOn w:val="DefaultParagraphFont"/>
    <w:rsid w:val="005A1587"/>
  </w:style>
  <w:style w:type="character" w:styleId="Strong">
    <w:name w:val="Strong"/>
    <w:basedOn w:val="DefaultParagraphFont"/>
    <w:uiPriority w:val="22"/>
    <w:qFormat/>
    <w:rsid w:val="005A1587"/>
    <w:rPr>
      <w:b/>
      <w:bCs/>
    </w:rPr>
  </w:style>
  <w:style w:type="paragraph" w:customStyle="1" w:styleId="articledoi1">
    <w:name w:val="articledoi1"/>
    <w:basedOn w:val="Normal"/>
    <w:rsid w:val="005A1587"/>
    <w:pPr>
      <w:widowControl/>
      <w:pBdr>
        <w:right w:val="single" w:sz="6" w:space="6" w:color="DCDCDC"/>
      </w:pBdr>
      <w:spacing w:before="100" w:beforeAutospacing="1"/>
      <w:ind w:right="120"/>
    </w:pPr>
    <w:rPr>
      <w:rFonts w:ascii="Times New Roman" w:eastAsia="Times New Roman" w:hAnsi="Times New Roman" w:cs="Times New Roman"/>
      <w:color w:val="666666"/>
      <w:sz w:val="24"/>
      <w:szCs w:val="24"/>
    </w:rPr>
  </w:style>
  <w:style w:type="character" w:customStyle="1" w:styleId="articlecitationvolume1">
    <w:name w:val="articlecitation_volume1"/>
    <w:basedOn w:val="DefaultParagraphFont"/>
    <w:rsid w:val="005A1587"/>
    <w:rPr>
      <w:vanish w:val="0"/>
      <w:webHidden w:val="0"/>
      <w:specVanish w:val="0"/>
    </w:rPr>
  </w:style>
  <w:style w:type="paragraph" w:styleId="NormalWeb">
    <w:name w:val="Normal (Web)"/>
    <w:basedOn w:val="Normal"/>
    <w:uiPriority w:val="99"/>
    <w:semiHidden/>
    <w:unhideWhenUsed/>
    <w:rsid w:val="00163FA9"/>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6533361">
      <w:bodyDiv w:val="1"/>
      <w:marLeft w:val="0"/>
      <w:marRight w:val="0"/>
      <w:marTop w:val="0"/>
      <w:marBottom w:val="0"/>
      <w:divBdr>
        <w:top w:val="none" w:sz="0" w:space="0" w:color="auto"/>
        <w:left w:val="none" w:sz="0" w:space="0" w:color="auto"/>
        <w:bottom w:val="none" w:sz="0" w:space="0" w:color="auto"/>
        <w:right w:val="none" w:sz="0" w:space="0" w:color="auto"/>
      </w:divBdr>
      <w:divsChild>
        <w:div w:id="668873353">
          <w:marLeft w:val="0"/>
          <w:marRight w:val="0"/>
          <w:marTop w:val="0"/>
          <w:marBottom w:val="0"/>
          <w:divBdr>
            <w:top w:val="none" w:sz="0" w:space="0" w:color="auto"/>
            <w:left w:val="none" w:sz="0" w:space="0" w:color="auto"/>
            <w:bottom w:val="none" w:sz="0" w:space="0" w:color="auto"/>
            <w:right w:val="none" w:sz="0" w:space="0" w:color="auto"/>
          </w:divBdr>
          <w:divsChild>
            <w:div w:id="331613555">
              <w:marLeft w:val="0"/>
              <w:marRight w:val="0"/>
              <w:marTop w:val="100"/>
              <w:marBottom w:val="100"/>
              <w:divBdr>
                <w:top w:val="none" w:sz="0" w:space="0" w:color="auto"/>
                <w:left w:val="none" w:sz="0" w:space="0" w:color="auto"/>
                <w:bottom w:val="none" w:sz="0" w:space="0" w:color="auto"/>
                <w:right w:val="none" w:sz="0" w:space="0" w:color="auto"/>
              </w:divBdr>
              <w:divsChild>
                <w:div w:id="1000432027">
                  <w:marLeft w:val="0"/>
                  <w:marRight w:val="0"/>
                  <w:marTop w:val="0"/>
                  <w:marBottom w:val="0"/>
                  <w:divBdr>
                    <w:top w:val="none" w:sz="0" w:space="0" w:color="auto"/>
                    <w:left w:val="none" w:sz="0" w:space="0" w:color="auto"/>
                    <w:bottom w:val="none" w:sz="0" w:space="0" w:color="auto"/>
                    <w:right w:val="none" w:sz="0" w:space="0" w:color="auto"/>
                  </w:divBdr>
                  <w:divsChild>
                    <w:div w:id="1777017309">
                      <w:marLeft w:val="0"/>
                      <w:marRight w:val="0"/>
                      <w:marTop w:val="0"/>
                      <w:marBottom w:val="0"/>
                      <w:divBdr>
                        <w:top w:val="none" w:sz="0" w:space="0" w:color="auto"/>
                        <w:left w:val="none" w:sz="0" w:space="0" w:color="auto"/>
                        <w:bottom w:val="none" w:sz="0" w:space="0" w:color="auto"/>
                        <w:right w:val="none" w:sz="0" w:space="0" w:color="auto"/>
                      </w:divBdr>
                      <w:divsChild>
                        <w:div w:id="179126709">
                          <w:marLeft w:val="0"/>
                          <w:marRight w:val="0"/>
                          <w:marTop w:val="0"/>
                          <w:marBottom w:val="540"/>
                          <w:divBdr>
                            <w:top w:val="none" w:sz="0" w:space="0" w:color="auto"/>
                            <w:left w:val="none" w:sz="0" w:space="0" w:color="auto"/>
                            <w:bottom w:val="none" w:sz="0" w:space="0" w:color="auto"/>
                            <w:right w:val="none" w:sz="0" w:space="0" w:color="auto"/>
                          </w:divBdr>
                          <w:divsChild>
                            <w:div w:id="1707481187">
                              <w:marLeft w:val="0"/>
                              <w:marRight w:val="0"/>
                              <w:marTop w:val="0"/>
                              <w:marBottom w:val="0"/>
                              <w:divBdr>
                                <w:top w:val="none" w:sz="0" w:space="0" w:color="auto"/>
                                <w:left w:val="none" w:sz="0" w:space="0" w:color="auto"/>
                                <w:bottom w:val="none" w:sz="0" w:space="0" w:color="auto"/>
                                <w:right w:val="none" w:sz="0" w:space="0" w:color="auto"/>
                              </w:divBdr>
                              <w:divsChild>
                                <w:div w:id="7932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11495">
      <w:bodyDiv w:val="1"/>
      <w:marLeft w:val="0"/>
      <w:marRight w:val="0"/>
      <w:marTop w:val="0"/>
      <w:marBottom w:val="0"/>
      <w:divBdr>
        <w:top w:val="none" w:sz="0" w:space="0" w:color="auto"/>
        <w:left w:val="none" w:sz="0" w:space="0" w:color="auto"/>
        <w:bottom w:val="none" w:sz="0" w:space="0" w:color="auto"/>
        <w:right w:val="none" w:sz="0" w:space="0" w:color="auto"/>
      </w:divBdr>
      <w:divsChild>
        <w:div w:id="1118404595">
          <w:marLeft w:val="0"/>
          <w:marRight w:val="0"/>
          <w:marTop w:val="0"/>
          <w:marBottom w:val="0"/>
          <w:divBdr>
            <w:top w:val="none" w:sz="0" w:space="0" w:color="auto"/>
            <w:left w:val="none" w:sz="0" w:space="0" w:color="auto"/>
            <w:bottom w:val="none" w:sz="0" w:space="0" w:color="auto"/>
            <w:right w:val="none" w:sz="0" w:space="0" w:color="auto"/>
          </w:divBdr>
          <w:divsChild>
            <w:div w:id="1036740403">
              <w:marLeft w:val="0"/>
              <w:marRight w:val="0"/>
              <w:marTop w:val="100"/>
              <w:marBottom w:val="100"/>
              <w:divBdr>
                <w:top w:val="none" w:sz="0" w:space="0" w:color="auto"/>
                <w:left w:val="none" w:sz="0" w:space="0" w:color="auto"/>
                <w:bottom w:val="none" w:sz="0" w:space="0" w:color="auto"/>
                <w:right w:val="none" w:sz="0" w:space="0" w:color="auto"/>
              </w:divBdr>
              <w:divsChild>
                <w:div w:id="938680434">
                  <w:marLeft w:val="0"/>
                  <w:marRight w:val="0"/>
                  <w:marTop w:val="0"/>
                  <w:marBottom w:val="0"/>
                  <w:divBdr>
                    <w:top w:val="none" w:sz="0" w:space="0" w:color="auto"/>
                    <w:left w:val="none" w:sz="0" w:space="0" w:color="auto"/>
                    <w:bottom w:val="none" w:sz="0" w:space="0" w:color="auto"/>
                    <w:right w:val="none" w:sz="0" w:space="0" w:color="auto"/>
                  </w:divBdr>
                  <w:divsChild>
                    <w:div w:id="1334258189">
                      <w:marLeft w:val="0"/>
                      <w:marRight w:val="0"/>
                      <w:marTop w:val="0"/>
                      <w:marBottom w:val="0"/>
                      <w:divBdr>
                        <w:top w:val="none" w:sz="0" w:space="0" w:color="auto"/>
                        <w:left w:val="none" w:sz="0" w:space="0" w:color="auto"/>
                        <w:bottom w:val="none" w:sz="0" w:space="0" w:color="auto"/>
                        <w:right w:val="none" w:sz="0" w:space="0" w:color="auto"/>
                      </w:divBdr>
                      <w:divsChild>
                        <w:div w:id="1529833431">
                          <w:marLeft w:val="0"/>
                          <w:marRight w:val="0"/>
                          <w:marTop w:val="0"/>
                          <w:marBottom w:val="540"/>
                          <w:divBdr>
                            <w:top w:val="none" w:sz="0" w:space="0" w:color="auto"/>
                            <w:left w:val="none" w:sz="0" w:space="0" w:color="auto"/>
                            <w:bottom w:val="none" w:sz="0" w:space="0" w:color="auto"/>
                            <w:right w:val="none" w:sz="0" w:space="0" w:color="auto"/>
                          </w:divBdr>
                          <w:divsChild>
                            <w:div w:id="1441148059">
                              <w:marLeft w:val="0"/>
                              <w:marRight w:val="0"/>
                              <w:marTop w:val="0"/>
                              <w:marBottom w:val="0"/>
                              <w:divBdr>
                                <w:top w:val="none" w:sz="0" w:space="0" w:color="auto"/>
                                <w:left w:val="none" w:sz="0" w:space="0" w:color="auto"/>
                                <w:bottom w:val="none" w:sz="0" w:space="0" w:color="auto"/>
                                <w:right w:val="none" w:sz="0" w:space="0" w:color="auto"/>
                              </w:divBdr>
                              <w:divsChild>
                                <w:div w:id="135414594">
                                  <w:marLeft w:val="0"/>
                                  <w:marRight w:val="0"/>
                                  <w:marTop w:val="0"/>
                                  <w:marBottom w:val="60"/>
                                  <w:divBdr>
                                    <w:top w:val="none" w:sz="0" w:space="0" w:color="auto"/>
                                    <w:left w:val="none" w:sz="0" w:space="0" w:color="auto"/>
                                    <w:bottom w:val="none" w:sz="0" w:space="0" w:color="auto"/>
                                    <w:right w:val="none" w:sz="0" w:space="0" w:color="auto"/>
                                  </w:divBdr>
                                  <w:divsChild>
                                    <w:div w:id="768818053">
                                      <w:marLeft w:val="0"/>
                                      <w:marRight w:val="0"/>
                                      <w:marTop w:val="0"/>
                                      <w:marBottom w:val="0"/>
                                      <w:divBdr>
                                        <w:top w:val="none" w:sz="0" w:space="0" w:color="auto"/>
                                        <w:left w:val="none" w:sz="0" w:space="0" w:color="auto"/>
                                        <w:bottom w:val="none" w:sz="0" w:space="0" w:color="auto"/>
                                        <w:right w:val="none" w:sz="0" w:space="0" w:color="auto"/>
                                      </w:divBdr>
                                      <w:divsChild>
                                        <w:div w:id="15132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Isao Eto</cp:lastModifiedBy>
  <cp:revision>2</cp:revision>
  <dcterms:created xsi:type="dcterms:W3CDTF">2017-11-09T15:52:00Z</dcterms:created>
  <dcterms:modified xsi:type="dcterms:W3CDTF">2017-11-09T15:52:00Z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