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96C5E" w14:textId="77777777" w:rsidR="00450E3B" w:rsidRPr="00450E3B" w:rsidRDefault="00450E3B" w:rsidP="00450E3B">
      <w:pPr>
        <w:rPr>
          <w:rFonts w:ascii="Minion Pro" w:hAnsi="Minion Pro" w:cs="Arial"/>
          <w:b/>
          <w:sz w:val="40"/>
          <w:szCs w:val="40"/>
          <w:lang w:val="en-AU"/>
        </w:rPr>
      </w:pPr>
      <w:r w:rsidRPr="00450E3B">
        <w:rPr>
          <w:rFonts w:ascii="Minion Pro" w:hAnsi="Minion Pro" w:cs="Arial"/>
          <w:b/>
          <w:bCs/>
          <w:sz w:val="40"/>
          <w:szCs w:val="40"/>
          <w:lang w:val="en-AU"/>
        </w:rPr>
        <w:t>Impact</w:t>
      </w:r>
      <w:r w:rsidRPr="00450E3B" w:rsidDel="00D76878">
        <w:rPr>
          <w:rFonts w:ascii="Minion Pro" w:hAnsi="Minion Pro" w:cs="Arial"/>
          <w:b/>
          <w:bCs/>
          <w:sz w:val="40"/>
          <w:szCs w:val="40"/>
          <w:lang w:val="en-AU"/>
        </w:rPr>
        <w:t xml:space="preserve"> </w:t>
      </w:r>
      <w:r w:rsidRPr="00450E3B">
        <w:rPr>
          <w:rFonts w:ascii="Minion Pro" w:hAnsi="Minion Pro" w:cs="Arial"/>
          <w:b/>
          <w:bCs/>
          <w:sz w:val="40"/>
          <w:szCs w:val="40"/>
          <w:lang w:val="en-AU"/>
        </w:rPr>
        <w:t>Of Food Trays Labelling And Assistance Opening Food And Beverage Packaging On Dietary Intakes of Renal Inpatients: A Pilot Study</w:t>
      </w:r>
    </w:p>
    <w:p w14:paraId="584F507A" w14:textId="77777777" w:rsidR="00AE3E37" w:rsidRPr="00450E3B" w:rsidRDefault="00450E3B" w:rsidP="00450E3B">
      <w:pPr>
        <w:pStyle w:val="BodyText"/>
        <w:rPr>
          <w:rFonts w:ascii="Arial"/>
          <w:sz w:val="20"/>
        </w:rPr>
      </w:pPr>
      <w:proofErr w:type="spellStart"/>
      <w:r w:rsidRPr="00450E3B">
        <w:rPr>
          <w:rFonts w:ascii="Arial" w:hAnsi="Arial" w:cs="Arial"/>
          <w:lang w:val="en-AU"/>
        </w:rPr>
        <w:t>Heba</w:t>
      </w:r>
      <w:proofErr w:type="spellEnd"/>
      <w:r w:rsidRPr="00450E3B">
        <w:rPr>
          <w:rFonts w:ascii="Arial" w:hAnsi="Arial" w:cs="Arial"/>
          <w:lang w:val="en-AU"/>
        </w:rPr>
        <w:t xml:space="preserve"> Hassanin</w:t>
      </w:r>
      <w:r w:rsidRPr="00450E3B">
        <w:rPr>
          <w:rFonts w:ascii="Arial" w:hAnsi="Arial" w:cs="Arial"/>
          <w:vertAlign w:val="superscript"/>
          <w:lang w:val="en-AU"/>
        </w:rPr>
        <w:t>1</w:t>
      </w:r>
      <w:r w:rsidRPr="00450E3B">
        <w:rPr>
          <w:rFonts w:ascii="Arial" w:hAnsi="Arial" w:cs="Arial"/>
          <w:lang w:val="en-AU"/>
        </w:rPr>
        <w:t>, Karen Walton</w:t>
      </w:r>
      <w:r w:rsidRPr="00450E3B">
        <w:rPr>
          <w:rFonts w:ascii="Arial" w:hAnsi="Arial" w:cs="Arial"/>
          <w:vertAlign w:val="superscript"/>
          <w:lang w:val="en-AU"/>
        </w:rPr>
        <w:t>1</w:t>
      </w:r>
      <w:r w:rsidRPr="00450E3B">
        <w:rPr>
          <w:rFonts w:ascii="Arial" w:hAnsi="Arial" w:cs="Arial"/>
          <w:lang w:val="en-AU"/>
        </w:rPr>
        <w:t>, Alison Bell</w:t>
      </w:r>
      <w:r w:rsidRPr="00450E3B">
        <w:rPr>
          <w:rFonts w:ascii="Arial" w:hAnsi="Arial" w:cs="Arial"/>
          <w:vertAlign w:val="superscript"/>
          <w:lang w:val="en-AU"/>
        </w:rPr>
        <w:t>1</w:t>
      </w:r>
      <w:r w:rsidRPr="00450E3B">
        <w:rPr>
          <w:rFonts w:ascii="Arial" w:hAnsi="Arial" w:cs="Arial"/>
          <w:lang w:val="en-AU"/>
        </w:rPr>
        <w:t xml:space="preserve">, </w:t>
      </w:r>
      <w:r w:rsidRPr="00450E3B">
        <w:rPr>
          <w:rStyle w:val="Hyperlink"/>
          <w:rFonts w:ascii="Arial" w:hAnsi="Arial" w:cs="Arial"/>
          <w:color w:val="000000" w:themeColor="text1"/>
          <w:u w:val="none"/>
          <w:lang w:val="en-AU"/>
        </w:rPr>
        <w:t>Kelly Lambert</w:t>
      </w:r>
      <w:r w:rsidRPr="00450E3B">
        <w:rPr>
          <w:rStyle w:val="Hyperlink"/>
          <w:rFonts w:ascii="Arial" w:hAnsi="Arial" w:cs="Arial"/>
          <w:color w:val="000000" w:themeColor="text1"/>
          <w:u w:val="none"/>
          <w:vertAlign w:val="superscript"/>
          <w:lang w:val="en-AU"/>
        </w:rPr>
        <w:t>2</w:t>
      </w:r>
      <w:r w:rsidRPr="00450E3B">
        <w:rPr>
          <w:rStyle w:val="Hyperlink"/>
          <w:rFonts w:ascii="Arial" w:hAnsi="Arial" w:cs="Arial"/>
          <w:color w:val="000000" w:themeColor="text1"/>
          <w:u w:val="none"/>
          <w:lang w:val="en-AU"/>
        </w:rPr>
        <w:t xml:space="preserve">, </w:t>
      </w:r>
      <w:r w:rsidRPr="00450E3B">
        <w:rPr>
          <w:rFonts w:ascii="Arial" w:hAnsi="Arial" w:cs="Arial"/>
          <w:lang w:val="en-AU"/>
        </w:rPr>
        <w:t>Jacqueline Chevis</w:t>
      </w:r>
      <w:r w:rsidRPr="00450E3B">
        <w:rPr>
          <w:rFonts w:ascii="Arial" w:hAnsi="Arial" w:cs="Arial"/>
          <w:vertAlign w:val="superscript"/>
          <w:lang w:val="en-AU"/>
        </w:rPr>
        <w:t>2</w:t>
      </w:r>
      <w:r w:rsidRPr="00450E3B">
        <w:rPr>
          <w:rFonts w:ascii="Arial" w:hAnsi="Arial" w:cs="Arial"/>
          <w:lang w:val="en-AU"/>
        </w:rPr>
        <w:t xml:space="preserve"> School of Medicine, University of Wollongong, Wollongong, NSW, 2522, Australia and</w:t>
      </w:r>
      <w:r w:rsidRPr="00450E3B">
        <w:rPr>
          <w:rStyle w:val="Hyperlink"/>
          <w:rFonts w:ascii="Arial" w:hAnsi="Arial" w:cs="Arial"/>
          <w:color w:val="000000" w:themeColor="text1"/>
          <w:u w:val="none"/>
          <w:lang w:val="en-AU"/>
        </w:rPr>
        <w:t xml:space="preserve"> </w:t>
      </w:r>
      <w:r w:rsidRPr="00450E3B">
        <w:rPr>
          <w:rFonts w:ascii="Arial" w:hAnsi="Arial" w:cs="Arial"/>
          <w:color w:val="000000" w:themeColor="text1"/>
          <w:lang w:val="en-AU"/>
        </w:rPr>
        <w:t>Wollongong hospital.</w:t>
      </w:r>
    </w:p>
    <w:p w14:paraId="75CF3B99" w14:textId="77777777" w:rsidR="00AE3E37" w:rsidRDefault="00AE3E37">
      <w:pPr>
        <w:pStyle w:val="BodyText"/>
        <w:spacing w:before="3"/>
        <w:rPr>
          <w:rFonts w:ascii="Arial"/>
          <w:sz w:val="21"/>
        </w:rPr>
      </w:pPr>
    </w:p>
    <w:p w14:paraId="2A2E504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DCA524A" w14:textId="77777777" w:rsidR="00450E3B" w:rsidRPr="00450E3B" w:rsidRDefault="00A9710C" w:rsidP="00450E3B">
      <w:pPr>
        <w:pStyle w:val="Heading3"/>
        <w:spacing w:before="147" w:line="360" w:lineRule="auto"/>
        <w:jc w:val="both"/>
        <w:rPr>
          <w:color w:val="BF5A14"/>
        </w:rPr>
      </w:pPr>
      <w:r>
        <w:rPr>
          <w:color w:val="BF5A14"/>
        </w:rPr>
        <w:lastRenderedPageBreak/>
        <w:t>Abstract</w:t>
      </w:r>
      <w:r w:rsidR="00404E5B">
        <w:rPr>
          <w:color w:val="BF5A14"/>
        </w:rPr>
        <w:t xml:space="preserve"> </w:t>
      </w:r>
    </w:p>
    <w:p w14:paraId="65C3B7F3" w14:textId="77777777" w:rsidR="00450E3B" w:rsidRPr="00450E3B" w:rsidRDefault="00450E3B" w:rsidP="00450E3B">
      <w:pPr>
        <w:autoSpaceDE w:val="0"/>
        <w:autoSpaceDN w:val="0"/>
        <w:adjustRightInd w:val="0"/>
        <w:spacing w:line="360" w:lineRule="auto"/>
        <w:rPr>
          <w:rFonts w:cs="Times New Roman"/>
          <w:sz w:val="18"/>
          <w:szCs w:val="18"/>
          <w:lang w:val="en-AU"/>
        </w:rPr>
      </w:pPr>
      <w:r>
        <w:rPr>
          <w:noProof/>
        </w:rPr>
        <w:drawing>
          <wp:anchor distT="0" distB="0" distL="0" distR="0" simplePos="0" relativeHeight="251658240" behindDoc="0" locked="0" layoutInCell="1" allowOverlap="1" wp14:anchorId="6008D159" wp14:editId="4D543034">
            <wp:simplePos x="0" y="0"/>
            <wp:positionH relativeFrom="page">
              <wp:posOffset>4753610</wp:posOffset>
            </wp:positionH>
            <wp:positionV relativeFrom="paragraph">
              <wp:posOffset>23495</wp:posOffset>
            </wp:positionV>
            <wp:extent cx="1471930" cy="1609725"/>
            <wp:effectExtent l="0" t="0" r="127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1471930" cy="1609725"/>
                    </a:xfrm>
                    <a:prstGeom prst="rect">
                      <a:avLst/>
                    </a:prstGeom>
                  </pic:spPr>
                </pic:pic>
              </a:graphicData>
            </a:graphic>
            <wp14:sizeRelH relativeFrom="margin">
              <wp14:pctWidth>0</wp14:pctWidth>
            </wp14:sizeRelH>
          </wp:anchor>
        </w:drawing>
      </w:r>
      <w:r w:rsidRPr="00450E3B">
        <w:rPr>
          <w:rFonts w:cs="Times New Roman"/>
          <w:sz w:val="18"/>
          <w:szCs w:val="18"/>
          <w:lang w:val="en-AU"/>
        </w:rPr>
        <w:t>Malnutrition is a common condition in elderly hospitalised patients and is usually associated with increased complications, hospital costs and length of stay. Packaged foods and beverages have been identified as a contributing factor to malnutrition amongst this population. This pilot study aimed to evaluate if assistance to open food and beverage packages is associated with improved dietary intakes by hospitalised chronic renal failure and haemodialysis patients, and to assess the reliability of the currently provided assistance.</w:t>
      </w:r>
      <w:r w:rsidRPr="00450E3B">
        <w:rPr>
          <w:rFonts w:cs="Times New Roman"/>
          <w:b/>
          <w:sz w:val="18"/>
          <w:szCs w:val="18"/>
          <w:lang w:val="en-AU"/>
        </w:rPr>
        <w:t xml:space="preserve"> </w:t>
      </w:r>
      <w:r w:rsidRPr="00450E3B">
        <w:rPr>
          <w:rFonts w:cs="Times New Roman"/>
          <w:sz w:val="18"/>
          <w:szCs w:val="18"/>
          <w:lang w:val="en-AU"/>
        </w:rPr>
        <w:t xml:space="preserve">Dietary intakes and waste audits were conducted to compare differences in intakes between pre-opened and sealed meals on different days. Nurses’ views about the identification of patients needing assistance and the labelling of food trays were explored through focus groups. There was a trend of increased energy and protein intakes when assistance opening packages was provided for haemodialysis patients at the beginning of meals, with significant improvements in energy intakes on the non-haemodialysis days (P: 0.046). However offering assistance during sealed mealtimes showed an evident increase in energy and protein intakes for non-haemodialysis patients </w:t>
      </w:r>
      <w:r w:rsidRPr="00450E3B">
        <w:rPr>
          <w:rFonts w:cs="Times New Roman"/>
          <w:sz w:val="18"/>
          <w:szCs w:val="18"/>
        </w:rPr>
        <w:t>reaching significance  (P: 0.068 for both)</w:t>
      </w:r>
      <w:r w:rsidRPr="00450E3B">
        <w:rPr>
          <w:rFonts w:cs="Times New Roman"/>
          <w:sz w:val="18"/>
          <w:szCs w:val="18"/>
          <w:lang w:val="en-AU"/>
        </w:rPr>
        <w:t>. Nurses indicated the unreliability of the tray labelling system. Nutritional status of elderly hospitalised patients can be improved by implementing a patient targeted tray labelling system and raising awareness of nursing and food service staff about timely assistance during mealtimes.</w:t>
      </w:r>
    </w:p>
    <w:p w14:paraId="2074C1AB" w14:textId="77777777" w:rsidR="00AE3E37" w:rsidRDefault="00A9710C">
      <w:pPr>
        <w:pStyle w:val="Heading3"/>
        <w:spacing w:before="74"/>
      </w:pPr>
      <w:r>
        <w:rPr>
          <w:b w:val="0"/>
        </w:rPr>
        <w:br w:type="column"/>
      </w:r>
      <w:r>
        <w:rPr>
          <w:color w:val="BF5A14"/>
        </w:rPr>
        <w:lastRenderedPageBreak/>
        <w:t>Image</w:t>
      </w:r>
    </w:p>
    <w:p w14:paraId="3A366F2D" w14:textId="77777777" w:rsidR="00AE3E37" w:rsidRDefault="00AE3E37">
      <w:pPr>
        <w:pStyle w:val="BodyText"/>
        <w:spacing w:before="2"/>
        <w:rPr>
          <w:rFonts w:ascii="Arial"/>
          <w:b/>
          <w:sz w:val="16"/>
        </w:rPr>
      </w:pPr>
    </w:p>
    <w:p w14:paraId="5553D1B6" w14:textId="211F6240" w:rsidR="005973B9" w:rsidRDefault="00FD63FF" w:rsidP="005973B9">
      <w:pPr>
        <w:spacing w:line="204" w:lineRule="exact"/>
        <w:rPr>
          <w:rFonts w:ascii="Arial"/>
          <w:b/>
          <w:sz w:val="20"/>
        </w:rPr>
      </w:pPr>
      <w:r>
        <w:rPr>
          <w:rFonts w:ascii="Arial"/>
          <w:b/>
          <w:color w:val="BF5A14"/>
          <w:sz w:val="20"/>
        </w:rPr>
        <w:br/>
        <w:t>Recent Publications</w:t>
      </w:r>
      <w:bookmarkStart w:id="0" w:name="_GoBack"/>
      <w:bookmarkEnd w:id="0"/>
    </w:p>
    <w:p w14:paraId="05A86650" w14:textId="2869BB18" w:rsidR="008E741C" w:rsidRPr="008E741C" w:rsidRDefault="008E741C" w:rsidP="008E741C">
      <w:pPr>
        <w:pStyle w:val="ListParagraph"/>
        <w:numPr>
          <w:ilvl w:val="0"/>
          <w:numId w:val="3"/>
        </w:numPr>
        <w:tabs>
          <w:tab w:val="left" w:pos="384"/>
        </w:tabs>
        <w:spacing w:before="103" w:line="240" w:lineRule="auto"/>
        <w:ind w:right="138" w:hanging="283"/>
        <w:rPr>
          <w:sz w:val="18"/>
          <w:szCs w:val="18"/>
        </w:rPr>
      </w:pPr>
      <w:r w:rsidRPr="008E741C">
        <w:rPr>
          <w:rFonts w:cs="Arial"/>
          <w:noProof/>
          <w:sz w:val="18"/>
          <w:szCs w:val="18"/>
        </w:rPr>
        <w:t>Bell AF, Walton KL, Tapsell LC. Easy to open? Exploring the 'openability' of hospital food and beverage packaging by older adults. Appetite. 2016;98:125-32.</w:t>
      </w:r>
    </w:p>
    <w:p w14:paraId="1F4D3E53" w14:textId="17627269" w:rsidR="008E741C" w:rsidRPr="008E741C" w:rsidRDefault="008E741C" w:rsidP="008E741C">
      <w:pPr>
        <w:pStyle w:val="EndNoteBibliography"/>
        <w:numPr>
          <w:ilvl w:val="0"/>
          <w:numId w:val="3"/>
        </w:numPr>
        <w:jc w:val="both"/>
        <w:rPr>
          <w:rFonts w:ascii="Calibri" w:hAnsi="Calibri" w:cs="Arial"/>
          <w:noProof/>
          <w:sz w:val="18"/>
          <w:szCs w:val="18"/>
        </w:rPr>
      </w:pPr>
      <w:r w:rsidRPr="008E741C">
        <w:rPr>
          <w:rFonts w:ascii="Calibri" w:hAnsi="Calibri" w:cs="Arial"/>
          <w:noProof/>
          <w:sz w:val="18"/>
          <w:szCs w:val="18"/>
        </w:rPr>
        <w:t>Bell A, Walton, K., Jenkins, E. &amp; Ryman, S. . You have to open it to eat it: does food packaging used in hospitals impede intake in a well older population?. Abstracts of the ICCAS 2015: Opportunities and Challenges for Food and Eating in Society. United States: Montclair State University. 2015;1.</w:t>
      </w:r>
    </w:p>
    <w:p w14:paraId="4782827C" w14:textId="77777777" w:rsidR="007C2E52" w:rsidRPr="008E741C" w:rsidRDefault="007C2E52" w:rsidP="008E741C">
      <w:pPr>
        <w:pStyle w:val="ListParagraph"/>
        <w:numPr>
          <w:ilvl w:val="0"/>
          <w:numId w:val="3"/>
        </w:numPr>
        <w:tabs>
          <w:tab w:val="left" w:pos="384"/>
        </w:tabs>
        <w:spacing w:before="103" w:line="240" w:lineRule="auto"/>
        <w:ind w:right="138" w:hanging="283"/>
        <w:rPr>
          <w:sz w:val="18"/>
        </w:rPr>
      </w:pPr>
      <w:r w:rsidRPr="008E741C">
        <w:rPr>
          <w:sz w:val="18"/>
        </w:rPr>
        <w:t>Bell A, Walton K</w:t>
      </w:r>
      <w:r w:rsidRPr="008E741C">
        <w:rPr>
          <w:sz w:val="18"/>
          <w:szCs w:val="18"/>
        </w:rPr>
        <w:t xml:space="preserve">, </w:t>
      </w:r>
      <w:proofErr w:type="spellStart"/>
      <w:r w:rsidRPr="008E741C">
        <w:rPr>
          <w:rFonts w:eastAsia="Times New Roman" w:cs="Times New Roman"/>
          <w:color w:val="000000"/>
          <w:sz w:val="18"/>
          <w:szCs w:val="18"/>
          <w:lang w:val="en-AU"/>
        </w:rPr>
        <w:t>Chevis</w:t>
      </w:r>
      <w:proofErr w:type="spellEnd"/>
      <w:r w:rsidRPr="008E741C">
        <w:rPr>
          <w:rFonts w:eastAsia="Times New Roman" w:cs="Times New Roman"/>
          <w:color w:val="000000"/>
          <w:sz w:val="18"/>
          <w:szCs w:val="18"/>
          <w:lang w:val="en-AU"/>
        </w:rPr>
        <w:t xml:space="preserve"> J, Davies K, Manson C, </w:t>
      </w:r>
      <w:proofErr w:type="spellStart"/>
      <w:r w:rsidRPr="008E741C">
        <w:rPr>
          <w:rFonts w:eastAsia="Times New Roman" w:cs="Times New Roman"/>
          <w:color w:val="000000"/>
          <w:sz w:val="18"/>
          <w:szCs w:val="18"/>
          <w:lang w:val="en-AU"/>
        </w:rPr>
        <w:t>Wypych</w:t>
      </w:r>
      <w:proofErr w:type="spellEnd"/>
      <w:r w:rsidRPr="008E741C">
        <w:rPr>
          <w:rFonts w:eastAsia="Times New Roman" w:cs="Times New Roman"/>
          <w:color w:val="000000"/>
          <w:sz w:val="18"/>
          <w:szCs w:val="18"/>
          <w:lang w:val="en-AU"/>
        </w:rPr>
        <w:t xml:space="preserve"> A, </w:t>
      </w:r>
      <w:proofErr w:type="spellStart"/>
      <w:r w:rsidRPr="008E741C">
        <w:rPr>
          <w:rFonts w:eastAsia="Times New Roman" w:cs="Times New Roman"/>
          <w:color w:val="000000"/>
          <w:sz w:val="18"/>
          <w:szCs w:val="18"/>
          <w:lang w:val="en-AU"/>
        </w:rPr>
        <w:t>Yoxall</w:t>
      </w:r>
      <w:proofErr w:type="spellEnd"/>
      <w:r w:rsidRPr="008E741C">
        <w:rPr>
          <w:rFonts w:eastAsia="Times New Roman" w:cs="Times New Roman"/>
          <w:color w:val="000000"/>
          <w:sz w:val="18"/>
          <w:szCs w:val="18"/>
          <w:lang w:val="en-AU"/>
        </w:rPr>
        <w:t xml:space="preserve"> A, Kirby J &amp; Alexander N (2013).</w:t>
      </w:r>
      <w:r w:rsidRPr="008E741C">
        <w:rPr>
          <w:rFonts w:eastAsia="Times New Roman" w:cs="Times New Roman"/>
          <w:color w:val="000000"/>
          <w:sz w:val="24"/>
          <w:szCs w:val="24"/>
          <w:lang w:val="en-AU"/>
        </w:rPr>
        <w:t xml:space="preserve"> </w:t>
      </w:r>
      <w:r w:rsidRPr="008E741C">
        <w:rPr>
          <w:rFonts w:eastAsia="Times New Roman" w:cs="Times New Roman"/>
          <w:color w:val="000000"/>
          <w:sz w:val="18"/>
          <w:szCs w:val="18"/>
          <w:lang w:val="en-AU"/>
        </w:rPr>
        <w:t xml:space="preserve">Accessing packaged food and beverages in hospital: Exploring experiences of patients and staff, </w:t>
      </w:r>
      <w:r w:rsidRPr="008E741C">
        <w:rPr>
          <w:rFonts w:eastAsia="Times New Roman" w:cs="Times New Roman"/>
          <w:i/>
          <w:color w:val="000000"/>
          <w:sz w:val="18"/>
          <w:szCs w:val="18"/>
          <w:lang w:val="en-AU"/>
        </w:rPr>
        <w:t>Appetite</w:t>
      </w:r>
      <w:proofErr w:type="gramStart"/>
      <w:r w:rsidRPr="008E741C">
        <w:rPr>
          <w:rFonts w:eastAsia="Times New Roman" w:cs="Times New Roman"/>
          <w:color w:val="000000"/>
          <w:sz w:val="18"/>
          <w:szCs w:val="18"/>
          <w:lang w:val="en-AU"/>
        </w:rPr>
        <w:t>;</w:t>
      </w:r>
      <w:proofErr w:type="gramEnd"/>
      <w:r w:rsidRPr="008E741C">
        <w:rPr>
          <w:rFonts w:eastAsia="Times New Roman" w:cs="Times New Roman"/>
          <w:color w:val="000000"/>
          <w:sz w:val="18"/>
          <w:szCs w:val="18"/>
          <w:lang w:val="en-AU"/>
        </w:rPr>
        <w:t xml:space="preserve"> 60:231-238.</w:t>
      </w:r>
    </w:p>
    <w:p w14:paraId="3D48B403" w14:textId="1F441479" w:rsidR="007C2E52" w:rsidRPr="008E741C" w:rsidRDefault="007C2E52" w:rsidP="008E741C">
      <w:pPr>
        <w:pStyle w:val="ListParagraph"/>
        <w:numPr>
          <w:ilvl w:val="0"/>
          <w:numId w:val="3"/>
        </w:numPr>
        <w:tabs>
          <w:tab w:val="left" w:pos="384"/>
        </w:tabs>
        <w:spacing w:before="103" w:line="240" w:lineRule="auto"/>
        <w:ind w:right="138" w:hanging="283"/>
        <w:rPr>
          <w:sz w:val="18"/>
        </w:rPr>
      </w:pPr>
      <w:r w:rsidRPr="008E741C">
        <w:rPr>
          <w:rFonts w:eastAsia="Times New Roman" w:cs="Times New Roman"/>
          <w:color w:val="000000"/>
          <w:sz w:val="18"/>
          <w:szCs w:val="18"/>
          <w:lang w:val="en-AU"/>
        </w:rPr>
        <w:t xml:space="preserve">Walton K, </w:t>
      </w:r>
      <w:r w:rsidRPr="008E741C">
        <w:rPr>
          <w:rFonts w:eastAsia="Times New Roman" w:cs="Times New Roman"/>
          <w:color w:val="000000"/>
          <w:sz w:val="18"/>
          <w:szCs w:val="18"/>
          <w:shd w:val="clear" w:color="auto" w:fill="FFFFFF"/>
          <w:lang w:val="en-AU"/>
        </w:rPr>
        <w:t xml:space="preserve">(2012). Improving opportunities for food service and dietetics practice in hospitals and residential care facilities, </w:t>
      </w:r>
      <w:r w:rsidRPr="008E741C">
        <w:rPr>
          <w:rFonts w:eastAsia="Times New Roman" w:cs="Times New Roman"/>
          <w:i/>
          <w:color w:val="000000"/>
          <w:sz w:val="18"/>
          <w:szCs w:val="18"/>
          <w:shd w:val="clear" w:color="auto" w:fill="FFFFFF"/>
          <w:lang w:val="en-AU"/>
        </w:rPr>
        <w:t xml:space="preserve">Nutrition and </w:t>
      </w:r>
      <w:r w:rsidR="008E741C" w:rsidRPr="008E741C">
        <w:rPr>
          <w:rFonts w:eastAsia="Times New Roman" w:cs="Times New Roman"/>
          <w:i/>
          <w:color w:val="000000"/>
          <w:sz w:val="18"/>
          <w:szCs w:val="18"/>
          <w:shd w:val="clear" w:color="auto" w:fill="FFFFFF"/>
          <w:lang w:val="en-AU"/>
        </w:rPr>
        <w:t>Dietetics</w:t>
      </w:r>
      <w:r w:rsidRPr="008E741C">
        <w:rPr>
          <w:rFonts w:eastAsia="Times New Roman" w:cs="Times New Roman"/>
          <w:color w:val="000000"/>
          <w:sz w:val="18"/>
          <w:szCs w:val="18"/>
          <w:shd w:val="clear" w:color="auto" w:fill="FFFFFF"/>
          <w:lang w:val="en-AU"/>
        </w:rPr>
        <w:t>; 69(3)</w:t>
      </w:r>
      <w:proofErr w:type="gramStart"/>
      <w:r w:rsidRPr="008E741C">
        <w:rPr>
          <w:rFonts w:eastAsia="Times New Roman" w:cs="Times New Roman"/>
          <w:color w:val="000000"/>
          <w:sz w:val="18"/>
          <w:szCs w:val="18"/>
          <w:shd w:val="clear" w:color="auto" w:fill="FFFFFF"/>
          <w:lang w:val="en-AU"/>
        </w:rPr>
        <w:t>:222</w:t>
      </w:r>
      <w:proofErr w:type="gramEnd"/>
      <w:r w:rsidRPr="008E741C">
        <w:rPr>
          <w:rFonts w:eastAsia="Times New Roman" w:cs="Times New Roman"/>
          <w:color w:val="000000"/>
          <w:sz w:val="18"/>
          <w:szCs w:val="18"/>
          <w:shd w:val="clear" w:color="auto" w:fill="FFFFFF"/>
          <w:lang w:val="en-AU"/>
        </w:rPr>
        <w:t>-225</w:t>
      </w:r>
      <w:r w:rsidR="008E741C" w:rsidRPr="008E741C">
        <w:rPr>
          <w:rFonts w:eastAsia="Times New Roman" w:cs="Times New Roman"/>
          <w:color w:val="000000"/>
          <w:sz w:val="18"/>
          <w:szCs w:val="18"/>
          <w:shd w:val="clear" w:color="auto" w:fill="FFFFFF"/>
          <w:lang w:val="en-AU"/>
        </w:rPr>
        <w:t>.</w:t>
      </w:r>
    </w:p>
    <w:p w14:paraId="093AFD21" w14:textId="77777777" w:rsidR="008E741C" w:rsidRPr="008E741C" w:rsidRDefault="008E741C" w:rsidP="008E741C">
      <w:pPr>
        <w:pStyle w:val="ListParagraph"/>
        <w:numPr>
          <w:ilvl w:val="0"/>
          <w:numId w:val="3"/>
        </w:numPr>
        <w:tabs>
          <w:tab w:val="left" w:pos="384"/>
        </w:tabs>
        <w:spacing w:before="103" w:line="240" w:lineRule="auto"/>
        <w:ind w:right="138" w:hanging="283"/>
      </w:pPr>
      <w:r w:rsidRPr="008E741C">
        <w:rPr>
          <w:rFonts w:eastAsia="Times New Roman" w:cs="Times New Roman"/>
          <w:color w:val="000000"/>
          <w:sz w:val="18"/>
          <w:szCs w:val="18"/>
          <w:shd w:val="clear" w:color="auto" w:fill="FFFFFF"/>
          <w:lang w:val="en-AU"/>
        </w:rPr>
        <w:t xml:space="preserve">Walton K, </w:t>
      </w:r>
      <w:r w:rsidRPr="008E741C">
        <w:rPr>
          <w:rFonts w:eastAsia="Times New Roman" w:cs="Times New Roman"/>
          <w:color w:val="000000"/>
          <w:sz w:val="18"/>
          <w:szCs w:val="18"/>
          <w:lang w:val="en-AU"/>
        </w:rPr>
        <w:t xml:space="preserve">Williams P &amp; </w:t>
      </w:r>
      <w:proofErr w:type="spellStart"/>
      <w:r w:rsidRPr="008E741C">
        <w:rPr>
          <w:rFonts w:eastAsia="Times New Roman" w:cs="Times New Roman"/>
          <w:color w:val="000000"/>
          <w:sz w:val="18"/>
          <w:szCs w:val="18"/>
          <w:lang w:val="en-AU"/>
        </w:rPr>
        <w:t>Tapsell</w:t>
      </w:r>
      <w:proofErr w:type="spellEnd"/>
      <w:r w:rsidRPr="008E741C">
        <w:rPr>
          <w:rFonts w:eastAsia="Times New Roman" w:cs="Times New Roman"/>
          <w:color w:val="000000"/>
          <w:sz w:val="18"/>
          <w:szCs w:val="18"/>
          <w:lang w:val="en-AU"/>
        </w:rPr>
        <w:t xml:space="preserve"> L (2012). Improving food services for elderly, long-stay patients in Australian hospitals: adding food fortification, assistance with packaging and feeding assistance. </w:t>
      </w:r>
      <w:r w:rsidRPr="008E741C">
        <w:rPr>
          <w:rFonts w:eastAsia="Times New Roman" w:cs="Times New Roman"/>
          <w:i/>
          <w:color w:val="000000"/>
          <w:sz w:val="18"/>
          <w:szCs w:val="18"/>
          <w:shd w:val="clear" w:color="auto" w:fill="FFFFFF"/>
          <w:lang w:val="en-AU"/>
        </w:rPr>
        <w:t>Nutrition and Dietetics</w:t>
      </w:r>
      <w:r w:rsidRPr="008E741C">
        <w:rPr>
          <w:rFonts w:eastAsia="Times New Roman" w:cs="Times New Roman"/>
          <w:color w:val="000000"/>
          <w:sz w:val="18"/>
          <w:szCs w:val="18"/>
          <w:lang w:val="en-AU"/>
        </w:rPr>
        <w:t>; 69(2)</w:t>
      </w:r>
      <w:proofErr w:type="gramStart"/>
      <w:r w:rsidRPr="008E741C">
        <w:rPr>
          <w:rFonts w:eastAsia="Times New Roman" w:cs="Times New Roman"/>
          <w:color w:val="000000"/>
          <w:sz w:val="18"/>
          <w:szCs w:val="18"/>
          <w:lang w:val="en-AU"/>
        </w:rPr>
        <w:t>:137</w:t>
      </w:r>
      <w:proofErr w:type="gramEnd"/>
      <w:r w:rsidRPr="008E741C">
        <w:rPr>
          <w:rFonts w:eastAsia="Times New Roman" w:cs="Times New Roman"/>
          <w:color w:val="000000"/>
          <w:sz w:val="18"/>
          <w:szCs w:val="18"/>
          <w:lang w:val="en-AU"/>
        </w:rPr>
        <w:t>-144.</w:t>
      </w:r>
    </w:p>
    <w:p w14:paraId="1E90FA5A" w14:textId="36CBD6D9" w:rsidR="00AE3E37" w:rsidRDefault="00AE3E37" w:rsidP="00FD63FF">
      <w:pPr>
        <w:tabs>
          <w:tab w:val="left" w:pos="384"/>
        </w:tabs>
        <w:spacing w:before="103"/>
        <w:ind w:left="100" w:right="138"/>
        <w:sectPr w:rsidR="00AE3E37">
          <w:type w:val="continuous"/>
          <w:pgSz w:w="11910" w:h="16840"/>
          <w:pgMar w:top="1740" w:right="600" w:bottom="840" w:left="620" w:header="720" w:footer="720" w:gutter="0"/>
          <w:cols w:num="2" w:space="720" w:equalWidth="0">
            <w:col w:w="5214" w:space="138"/>
            <w:col w:w="5338"/>
          </w:cols>
        </w:sectPr>
      </w:pPr>
    </w:p>
    <w:p w14:paraId="3AE11979" w14:textId="77777777" w:rsidR="00AE3E37" w:rsidRDefault="00AE3E37">
      <w:pPr>
        <w:pStyle w:val="BodyText"/>
        <w:rPr>
          <w:rFonts w:ascii="Calibri"/>
          <w:sz w:val="20"/>
        </w:rPr>
      </w:pPr>
    </w:p>
    <w:p w14:paraId="689B1B6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1CA11CF" wp14:editId="301A00A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178616B" w14:textId="7DAFE31A" w:rsidR="00AE3E37" w:rsidRDefault="008756E6" w:rsidP="00404E5B">
      <w:pPr>
        <w:spacing w:before="92"/>
        <w:ind w:right="4234"/>
        <w:rPr>
          <w:rFonts w:ascii="Arial"/>
        </w:rPr>
      </w:pPr>
      <w:r>
        <w:rPr>
          <w:noProof/>
        </w:rPr>
        <w:t xml:space="preserve">             </w:t>
      </w:r>
      <w:r w:rsidR="00542312">
        <w:rPr>
          <w:noProof/>
        </w:rPr>
        <w:drawing>
          <wp:inline distT="0" distB="0" distL="0" distR="0" wp14:anchorId="7097C0F6" wp14:editId="08D28359">
            <wp:extent cx="430736" cy="625069"/>
            <wp:effectExtent l="0" t="0" r="127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30736" cy="625069"/>
                    </a:xfrm>
                    <a:prstGeom prst="rect">
                      <a:avLst/>
                    </a:prstGeom>
                    <a:noFill/>
                    <a:ln>
                      <a:noFill/>
                    </a:ln>
                  </pic:spPr>
                </pic:pic>
              </a:graphicData>
            </a:graphic>
          </wp:inline>
        </w:drawing>
      </w:r>
      <w:r>
        <w:rPr>
          <w:noProof/>
        </w:rPr>
        <w:t xml:space="preserve"> </w:t>
      </w:r>
      <w:r w:rsidR="00A9710C">
        <w:rPr>
          <w:rFonts w:ascii="Arial"/>
          <w:color w:val="BF5A14"/>
        </w:rPr>
        <w:t>Biography</w:t>
      </w:r>
    </w:p>
    <w:p w14:paraId="223E1586" w14:textId="77777777" w:rsidR="00AE3E37" w:rsidRPr="00C15BD0" w:rsidRDefault="00542312" w:rsidP="00C15BD0">
      <w:pPr>
        <w:rPr>
          <w:rFonts w:ascii="Arial" w:eastAsia="Times New Roman" w:hAnsi="Arial" w:cs="Arial"/>
          <w:sz w:val="16"/>
          <w:szCs w:val="16"/>
          <w:lang w:val="en-AU"/>
        </w:rPr>
      </w:pPr>
      <w:proofErr w:type="spellStart"/>
      <w:r w:rsidRPr="00C15BD0">
        <w:rPr>
          <w:rFonts w:ascii="Arial" w:hAnsi="Arial" w:cs="Arial"/>
          <w:sz w:val="16"/>
          <w:szCs w:val="16"/>
        </w:rPr>
        <w:t>Heba</w:t>
      </w:r>
      <w:proofErr w:type="spellEnd"/>
      <w:r w:rsidRPr="00C15BD0">
        <w:rPr>
          <w:rFonts w:ascii="Arial" w:hAnsi="Arial" w:cs="Arial"/>
          <w:sz w:val="16"/>
          <w:szCs w:val="16"/>
        </w:rPr>
        <w:t xml:space="preserve"> Hassanin </w:t>
      </w:r>
      <w:r w:rsidRPr="00C15BD0">
        <w:rPr>
          <w:rFonts w:ascii="Arial" w:eastAsia="Times New Roman" w:hAnsi="Arial" w:cs="Arial"/>
          <w:sz w:val="16"/>
          <w:szCs w:val="16"/>
        </w:rPr>
        <w:t xml:space="preserve">is </w:t>
      </w:r>
      <w:r w:rsidR="00C15BD0" w:rsidRPr="00C15BD0">
        <w:rPr>
          <w:rFonts w:ascii="Arial" w:eastAsia="Times New Roman" w:hAnsi="Arial" w:cs="Arial"/>
          <w:sz w:val="16"/>
          <w:szCs w:val="16"/>
          <w:shd w:val="clear" w:color="auto" w:fill="FFFFFF"/>
          <w:lang w:val="en-AU"/>
        </w:rPr>
        <w:t>Passionate Nutrition and Dietetics professional, believes in the critical role nutrition plays in hospitals and community, dedicated to improving dietary habits and long-term health of people of all ages.</w:t>
      </w:r>
      <w:r w:rsidR="00C15BD0">
        <w:rPr>
          <w:rFonts w:ascii="Arial" w:eastAsia="Times New Roman" w:hAnsi="Arial" w:cs="Arial"/>
          <w:sz w:val="16"/>
          <w:szCs w:val="16"/>
          <w:shd w:val="clear" w:color="auto" w:fill="FFFFFF"/>
          <w:lang w:val="en-AU"/>
        </w:rPr>
        <w:t xml:space="preserve"> This research is part of </w:t>
      </w:r>
      <w:r w:rsidR="00C15BD0">
        <w:rPr>
          <w:rFonts w:ascii="Arial" w:eastAsia="Times New Roman" w:hAnsi="Arial" w:cs="Arial"/>
          <w:sz w:val="16"/>
          <w:szCs w:val="16"/>
          <w:lang w:val="en-AU"/>
        </w:rPr>
        <w:t>big research programme</w:t>
      </w:r>
      <w:r w:rsidR="002D00E7">
        <w:rPr>
          <w:rFonts w:ascii="Arial" w:eastAsia="Times New Roman" w:hAnsi="Arial" w:cs="Arial"/>
          <w:sz w:val="16"/>
          <w:szCs w:val="16"/>
          <w:lang w:val="en-AU"/>
        </w:rPr>
        <w:t xml:space="preserve"> exploring the open-ability of food and beverages packaging </w:t>
      </w:r>
      <w:r w:rsidR="00A9710C" w:rsidRPr="00542312">
        <w:rPr>
          <w:rFonts w:ascii="Arial" w:hAnsi="Arial" w:cs="Arial"/>
          <w:sz w:val="16"/>
          <w:szCs w:val="16"/>
        </w:rPr>
        <w:t>both in hospital</w:t>
      </w:r>
      <w:r w:rsidR="00C15BD0">
        <w:rPr>
          <w:rFonts w:ascii="Arial" w:hAnsi="Arial" w:cs="Arial"/>
          <w:sz w:val="16"/>
          <w:szCs w:val="16"/>
        </w:rPr>
        <w:t>s and community settings</w:t>
      </w:r>
      <w:r w:rsidR="002D00E7">
        <w:rPr>
          <w:rFonts w:ascii="Arial" w:hAnsi="Arial" w:cs="Arial"/>
          <w:sz w:val="16"/>
          <w:szCs w:val="16"/>
        </w:rPr>
        <w:t>,</w:t>
      </w:r>
      <w:r w:rsidR="00A9710C" w:rsidRPr="00542312">
        <w:rPr>
          <w:rFonts w:ascii="Arial" w:hAnsi="Arial" w:cs="Arial"/>
          <w:sz w:val="16"/>
          <w:szCs w:val="16"/>
        </w:rPr>
        <w:t xml:space="preserve"> </w:t>
      </w:r>
      <w:r w:rsidR="002D00E7">
        <w:rPr>
          <w:rFonts w:ascii="Arial" w:eastAsia="Times New Roman" w:hAnsi="Arial" w:cs="Arial"/>
          <w:sz w:val="16"/>
          <w:szCs w:val="16"/>
          <w:lang w:val="en-AU"/>
        </w:rPr>
        <w:t xml:space="preserve">conducted by Walton et al, at UOW, </w:t>
      </w:r>
      <w:r w:rsidR="002D00E7" w:rsidRPr="00542312">
        <w:rPr>
          <w:rFonts w:ascii="Arial" w:hAnsi="Arial" w:cs="Arial"/>
          <w:sz w:val="16"/>
          <w:szCs w:val="16"/>
        </w:rPr>
        <w:t xml:space="preserve">after years of experience in </w:t>
      </w:r>
      <w:r w:rsidR="002D00E7">
        <w:rPr>
          <w:rFonts w:ascii="Arial" w:hAnsi="Arial" w:cs="Arial"/>
          <w:sz w:val="16"/>
          <w:szCs w:val="16"/>
        </w:rPr>
        <w:t>research evaluation in this field.</w:t>
      </w:r>
    </w:p>
    <w:p w14:paraId="42CC6C61" w14:textId="77777777" w:rsidR="00C15BD0" w:rsidRDefault="00A9710C">
      <w:pPr>
        <w:spacing w:before="62"/>
        <w:ind w:left="4217" w:right="4235"/>
        <w:jc w:val="center"/>
        <w:rPr>
          <w:rFonts w:ascii="Arial"/>
          <w:sz w:val="14"/>
        </w:rPr>
      </w:pPr>
      <w:r>
        <w:rPr>
          <w:rFonts w:ascii="Arial"/>
          <w:sz w:val="14"/>
        </w:rPr>
        <w:t xml:space="preserve">Email: </w:t>
      </w:r>
      <w:hyperlink r:id="rId12" w:history="1">
        <w:r w:rsidR="00C15BD0" w:rsidRPr="00DD4CF7">
          <w:rPr>
            <w:rStyle w:val="Hyperlink"/>
            <w:rFonts w:ascii="Arial"/>
            <w:sz w:val="14"/>
          </w:rPr>
          <w:t>hasah644@uowmail.edu.au</w:t>
        </w:r>
      </w:hyperlink>
    </w:p>
    <w:p w14:paraId="37668FA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F05A90E" wp14:editId="673328A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4A16E93" w14:textId="77777777" w:rsidR="00AE3E37" w:rsidRDefault="00AE3E37">
      <w:pPr>
        <w:pStyle w:val="BodyText"/>
        <w:rPr>
          <w:rFonts w:ascii="Arial"/>
          <w:sz w:val="20"/>
        </w:rPr>
      </w:pPr>
    </w:p>
    <w:p w14:paraId="701C0219" w14:textId="77777777" w:rsidR="00AE3E37" w:rsidRDefault="00AE3E37">
      <w:pPr>
        <w:pStyle w:val="BodyText"/>
        <w:rPr>
          <w:rFonts w:ascii="Arial"/>
          <w:sz w:val="20"/>
        </w:rPr>
      </w:pPr>
    </w:p>
    <w:p w14:paraId="7D896D4B" w14:textId="77777777" w:rsidR="00AE3E37" w:rsidRDefault="00AE3E37">
      <w:pPr>
        <w:pStyle w:val="BodyText"/>
        <w:spacing w:before="7"/>
        <w:rPr>
          <w:rFonts w:ascii="Arial"/>
          <w:sz w:val="29"/>
        </w:rPr>
      </w:pPr>
    </w:p>
    <w:p w14:paraId="1C32CBF6" w14:textId="77777777" w:rsidR="00AE3E37" w:rsidRPr="00B21A57" w:rsidRDefault="00A9710C">
      <w:pPr>
        <w:spacing w:before="39"/>
        <w:ind w:left="100"/>
        <w:rPr>
          <w:rFonts w:ascii="Minion Pro"/>
          <w:b/>
          <w:sz w:val="20"/>
        </w:rPr>
      </w:pPr>
      <w:r w:rsidRPr="00B21A57">
        <w:rPr>
          <w:rFonts w:ascii="Minion Pro"/>
          <w:b/>
          <w:sz w:val="20"/>
        </w:rPr>
        <w:t>Notes/Comments:</w:t>
      </w:r>
    </w:p>
    <w:p w14:paraId="63C75DA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5FCB5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7D7D74" w14:textId="77777777" w:rsidR="008E741C" w:rsidRDefault="008E741C">
      <w:r>
        <w:separator/>
      </w:r>
    </w:p>
  </w:endnote>
  <w:endnote w:type="continuationSeparator" w:id="0">
    <w:p w14:paraId="11254C5F" w14:textId="77777777" w:rsidR="008E741C" w:rsidRDefault="008E7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72069" w14:textId="77777777" w:rsidR="008E741C" w:rsidRDefault="008E741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A68673F" wp14:editId="624D804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44868" w14:textId="77777777" w:rsidR="008E741C" w:rsidRPr="005B3A56" w:rsidRDefault="008E741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DA7321" w14:textId="77777777" w:rsidR="008E741C" w:rsidRPr="005B3A56" w:rsidRDefault="008E741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B844868" w14:textId="77777777" w:rsidR="008E741C" w:rsidRPr="005B3A56" w:rsidRDefault="008E741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DA7321" w14:textId="77777777" w:rsidR="008E741C" w:rsidRPr="005B3A56" w:rsidRDefault="008E741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3FEE73" wp14:editId="79ABA1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38AF5" w14:textId="77777777" w:rsidR="008E741C" w:rsidRPr="005B3A56" w:rsidRDefault="008E741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C6D6F5" w14:textId="77777777" w:rsidR="008E741C" w:rsidRPr="005B3A56" w:rsidRDefault="008E741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2138AF5" w14:textId="77777777" w:rsidR="008E741C" w:rsidRPr="005B3A56" w:rsidRDefault="008E741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C6D6F5" w14:textId="77777777" w:rsidR="008E741C" w:rsidRPr="005B3A56" w:rsidRDefault="008E741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86DB7A9" wp14:editId="342BAB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EAFB6" w14:textId="77777777" w:rsidR="008E741C" w:rsidRPr="005B3A56" w:rsidRDefault="008E741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C7C54F" w14:textId="77777777" w:rsidR="008E741C" w:rsidRPr="005B3A56" w:rsidRDefault="008E741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D9EAFB6" w14:textId="77777777" w:rsidR="008E741C" w:rsidRPr="005B3A56" w:rsidRDefault="008E741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C7C54F" w14:textId="77777777" w:rsidR="008E741C" w:rsidRPr="005B3A56" w:rsidRDefault="008E741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AB2260" w14:textId="77777777" w:rsidR="008E741C" w:rsidRDefault="008E741C">
      <w:r>
        <w:separator/>
      </w:r>
    </w:p>
  </w:footnote>
  <w:footnote w:type="continuationSeparator" w:id="0">
    <w:p w14:paraId="6A1C6B48" w14:textId="77777777" w:rsidR="008E741C" w:rsidRDefault="008E741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EFB6B" w14:textId="77777777" w:rsidR="008E741C" w:rsidRDefault="008E741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6359311" wp14:editId="4057D6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051C8" w14:textId="77777777" w:rsidR="008E741C" w:rsidRPr="005B3A56" w:rsidRDefault="008E741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A6051C8" w14:textId="77777777" w:rsidR="008E741C" w:rsidRPr="005B3A56" w:rsidRDefault="008E741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4D97330" wp14:editId="2524A8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82DB3" w14:textId="77777777" w:rsidR="008E741C" w:rsidRPr="005B3A56" w:rsidRDefault="008E741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CDCFEB" w14:textId="77777777" w:rsidR="008E741C" w:rsidRPr="005B3A56" w:rsidRDefault="008E741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1082DB3" w14:textId="77777777" w:rsidR="008E741C" w:rsidRPr="005B3A56" w:rsidRDefault="008E741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CDCFEB" w14:textId="77777777" w:rsidR="008E741C" w:rsidRPr="005B3A56" w:rsidRDefault="008E741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06B19"/>
    <w:multiLevelType w:val="multilevel"/>
    <w:tmpl w:val="BF6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AEA52D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D00E7"/>
    <w:rsid w:val="00404E5B"/>
    <w:rsid w:val="00414F7B"/>
    <w:rsid w:val="004355DC"/>
    <w:rsid w:val="00450E3B"/>
    <w:rsid w:val="004749B4"/>
    <w:rsid w:val="00494130"/>
    <w:rsid w:val="004F3523"/>
    <w:rsid w:val="00542312"/>
    <w:rsid w:val="005973B9"/>
    <w:rsid w:val="005B3A56"/>
    <w:rsid w:val="006060CE"/>
    <w:rsid w:val="0063497F"/>
    <w:rsid w:val="007C2E52"/>
    <w:rsid w:val="00873DF0"/>
    <w:rsid w:val="008756E6"/>
    <w:rsid w:val="008A08B6"/>
    <w:rsid w:val="008E741C"/>
    <w:rsid w:val="009B2D44"/>
    <w:rsid w:val="00A07E82"/>
    <w:rsid w:val="00A9710C"/>
    <w:rsid w:val="00AE3E37"/>
    <w:rsid w:val="00B21A57"/>
    <w:rsid w:val="00BE2236"/>
    <w:rsid w:val="00C15BD0"/>
    <w:rsid w:val="00C33602"/>
    <w:rsid w:val="00CD6F55"/>
    <w:rsid w:val="00DE3104"/>
    <w:rsid w:val="00E26B10"/>
    <w:rsid w:val="00F72EEA"/>
    <w:rsid w:val="00F84CAE"/>
    <w:rsid w:val="00FC55FC"/>
    <w:rsid w:val="00FD63F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B2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50E3B"/>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542312"/>
    <w:rPr>
      <w:color w:val="800080" w:themeColor="followedHyperlink"/>
      <w:u w:val="single"/>
    </w:rPr>
  </w:style>
  <w:style w:type="character" w:styleId="Strong">
    <w:name w:val="Strong"/>
    <w:basedOn w:val="DefaultParagraphFont"/>
    <w:uiPriority w:val="22"/>
    <w:qFormat/>
    <w:rsid w:val="007C2E52"/>
    <w:rPr>
      <w:b/>
      <w:bCs/>
    </w:rPr>
  </w:style>
  <w:style w:type="character" w:styleId="Emphasis">
    <w:name w:val="Emphasis"/>
    <w:basedOn w:val="DefaultParagraphFont"/>
    <w:uiPriority w:val="20"/>
    <w:qFormat/>
    <w:rsid w:val="007C2E52"/>
    <w:rPr>
      <w:i/>
      <w:iCs/>
    </w:rPr>
  </w:style>
  <w:style w:type="paragraph" w:customStyle="1" w:styleId="EndNoteBibliography">
    <w:name w:val="EndNote Bibliography"/>
    <w:basedOn w:val="Normal"/>
    <w:rsid w:val="008E741C"/>
    <w:pPr>
      <w:widowControl/>
    </w:pPr>
    <w:rPr>
      <w:rFonts w:ascii="Cambria" w:eastAsiaTheme="minorEastAsia" w:hAnsi="Cambria" w:cstheme="minorBidi"/>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50E3B"/>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542312"/>
    <w:rPr>
      <w:color w:val="800080" w:themeColor="followedHyperlink"/>
      <w:u w:val="single"/>
    </w:rPr>
  </w:style>
  <w:style w:type="character" w:styleId="Strong">
    <w:name w:val="Strong"/>
    <w:basedOn w:val="DefaultParagraphFont"/>
    <w:uiPriority w:val="22"/>
    <w:qFormat/>
    <w:rsid w:val="007C2E52"/>
    <w:rPr>
      <w:b/>
      <w:bCs/>
    </w:rPr>
  </w:style>
  <w:style w:type="character" w:styleId="Emphasis">
    <w:name w:val="Emphasis"/>
    <w:basedOn w:val="DefaultParagraphFont"/>
    <w:uiPriority w:val="20"/>
    <w:qFormat/>
    <w:rsid w:val="007C2E52"/>
    <w:rPr>
      <w:i/>
      <w:iCs/>
    </w:rPr>
  </w:style>
  <w:style w:type="paragraph" w:customStyle="1" w:styleId="EndNoteBibliography">
    <w:name w:val="EndNote Bibliography"/>
    <w:basedOn w:val="Normal"/>
    <w:rsid w:val="008E741C"/>
    <w:pPr>
      <w:widowControl/>
    </w:pPr>
    <w:rPr>
      <w:rFonts w:ascii="Cambria" w:eastAsiaTheme="minorEastAsia" w:hAnsi="Cambr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049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54399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9938869">
      <w:bodyDiv w:val="1"/>
      <w:marLeft w:val="0"/>
      <w:marRight w:val="0"/>
      <w:marTop w:val="0"/>
      <w:marBottom w:val="0"/>
      <w:divBdr>
        <w:top w:val="none" w:sz="0" w:space="0" w:color="auto"/>
        <w:left w:val="none" w:sz="0" w:space="0" w:color="auto"/>
        <w:bottom w:val="none" w:sz="0" w:space="0" w:color="auto"/>
        <w:right w:val="none" w:sz="0" w:space="0" w:color="auto"/>
      </w:divBdr>
    </w:div>
    <w:div w:id="207685886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hasah644@uowmail.edu.au"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533</Words>
  <Characters>3040</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hasah644@uowmail.edu.au Hassanin</cp:lastModifiedBy>
  <cp:revision>3</cp:revision>
  <dcterms:created xsi:type="dcterms:W3CDTF">2017-08-14T11:39:00Z</dcterms:created>
  <dcterms:modified xsi:type="dcterms:W3CDTF">2017-08-14T12:04:00Z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