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6EB" w:rsidRDefault="008746EB" w:rsidP="00905F65">
      <w:pPr>
        <w:widowControl w:val="0"/>
        <w:spacing w:before="3" w:after="0" w:line="276" w:lineRule="auto"/>
        <w:rPr>
          <w:rFonts w:ascii="Minion Pro" w:eastAsia="Minion Pro" w:hAnsi="Minion Pro" w:cs="Minion Pro"/>
          <w:b/>
          <w:bCs/>
          <w:color w:val="337AB7"/>
          <w:sz w:val="36"/>
          <w:szCs w:val="36"/>
          <w:lang w:val="en-US"/>
        </w:rPr>
      </w:pPr>
      <w:r w:rsidRPr="00CA6435">
        <w:rPr>
          <w:rFonts w:ascii="Minion Pro" w:eastAsia="Minion Pro" w:hAnsi="Minion Pro" w:cs="Minion Pro"/>
          <w:b/>
          <w:bCs/>
          <w:color w:val="337AB7"/>
          <w:sz w:val="36"/>
          <w:szCs w:val="36"/>
          <w:lang w:val="en-US"/>
        </w:rPr>
        <w:t>Obesity in Children and Oral Health- Literature Review</w:t>
      </w:r>
    </w:p>
    <w:p w:rsidR="00EE4283" w:rsidRPr="007D4CE1" w:rsidRDefault="00EE4283" w:rsidP="007D4CE1">
      <w:pPr>
        <w:widowControl w:val="0"/>
        <w:spacing w:before="73" w:after="0" w:line="198" w:lineRule="exact"/>
        <w:ind w:left="100" w:right="5987"/>
        <w:rPr>
          <w:rFonts w:ascii="Arial" w:eastAsia="Tw Cen MT" w:hAnsi="Tw Cen MT" w:cs="Tw Cen MT"/>
          <w:sz w:val="18"/>
          <w:szCs w:val="18"/>
          <w:lang w:val="en-US"/>
        </w:rPr>
      </w:pPr>
      <w:r w:rsidRPr="00EE4283">
        <w:rPr>
          <w:rFonts w:ascii="Arial" w:eastAsia="Tw Cen MT" w:hAnsi="Tw Cen MT" w:cs="Tw Cen MT"/>
          <w:sz w:val="18"/>
          <w:szCs w:val="18"/>
          <w:lang w:val="en-US"/>
        </w:rPr>
        <w:t>Sirma T. Angelova</w:t>
      </w:r>
      <w:r w:rsidR="007D4CE1">
        <w:rPr>
          <w:rFonts w:ascii="Arial" w:eastAsia="Tw Cen MT" w:hAnsi="Tw Cen MT" w:cs="Tw Cen MT"/>
          <w:sz w:val="18"/>
          <w:szCs w:val="18"/>
          <w:lang w:val="en-US"/>
        </w:rPr>
        <w:t xml:space="preserve">, DMD, PhD, Medical University-Varna, Varna, </w:t>
      </w:r>
      <w:r w:rsidRPr="00EE4283">
        <w:rPr>
          <w:rFonts w:ascii="Arial" w:eastAsia="Tw Cen MT" w:hAnsi="Tw Cen MT" w:cs="Tw Cen MT"/>
          <w:sz w:val="18"/>
          <w:szCs w:val="18"/>
          <w:lang w:val="en-US"/>
        </w:rPr>
        <w:t xml:space="preserve">Bulgaria </w:t>
      </w:r>
    </w:p>
    <w:p w:rsidR="007D4CE1" w:rsidRPr="007D4CE1" w:rsidRDefault="007D4CE1" w:rsidP="007D4CE1">
      <w:pPr>
        <w:widowControl w:val="0"/>
        <w:spacing w:before="147" w:after="0" w:line="240" w:lineRule="auto"/>
        <w:jc w:val="both"/>
        <w:outlineLvl w:val="2"/>
        <w:rPr>
          <w:rFonts w:ascii="Arial" w:eastAsia="Arial" w:hAnsi="Arial" w:cs="Arial"/>
          <w:b/>
          <w:bCs/>
          <w:sz w:val="20"/>
          <w:szCs w:val="20"/>
          <w:lang w:val="en-US"/>
        </w:rPr>
        <w:sectPr w:rsidR="007D4CE1" w:rsidRPr="007D4CE1">
          <w:footerReference w:type="default" r:id="rId8"/>
          <w:pgSz w:w="11906" w:h="16838"/>
          <w:pgMar w:top="1417" w:right="1417" w:bottom="1417" w:left="1417" w:header="708" w:footer="708" w:gutter="0"/>
          <w:cols w:space="708"/>
          <w:docGrid w:linePitch="360"/>
        </w:sectPr>
      </w:pPr>
      <w:r w:rsidRPr="007D4CE1">
        <w:rPr>
          <w:rFonts w:ascii="Arial" w:eastAsia="Arial" w:hAnsi="Arial" w:cs="Arial"/>
          <w:b/>
          <w:bCs/>
          <w:color w:val="BF5A14"/>
          <w:sz w:val="20"/>
          <w:szCs w:val="20"/>
          <w:lang w:val="en-US"/>
        </w:rPr>
        <w:t>Abstract</w:t>
      </w:r>
      <w:r>
        <w:rPr>
          <w:rFonts w:ascii="Arial" w:eastAsia="Arial" w:hAnsi="Arial" w:cs="Arial"/>
          <w:b/>
          <w:bCs/>
          <w:color w:val="BF5A14"/>
          <w:sz w:val="20"/>
          <w:szCs w:val="20"/>
          <w:lang w:val="en-US"/>
        </w:rPr>
        <w:t xml:space="preserve"> </w:t>
      </w:r>
    </w:p>
    <w:p w:rsidR="007D4CE1" w:rsidRDefault="00F71D8A" w:rsidP="00DA39F4">
      <w:pPr>
        <w:widowControl w:val="0"/>
        <w:spacing w:before="3" w:after="0" w:line="276" w:lineRule="auto"/>
        <w:rPr>
          <w:rFonts w:ascii="Tw Cen MT" w:eastAsia="Times New Roman" w:hAnsi="Tw Cen MT" w:cs="Times New Roman"/>
          <w:sz w:val="18"/>
          <w:szCs w:val="18"/>
          <w:lang w:val="en-US" w:eastAsia="bg-BG"/>
        </w:rPr>
      </w:pPr>
      <w:r w:rsidRPr="00EA32BA">
        <w:rPr>
          <w:rFonts w:ascii="Tw Cen MT" w:hAnsi="Tw Cen MT" w:cs="Times New Roman"/>
          <w:b/>
          <w:sz w:val="18"/>
          <w:szCs w:val="18"/>
          <w:lang w:val="en-US"/>
        </w:rPr>
        <w:lastRenderedPageBreak/>
        <w:t>State of the problem</w:t>
      </w:r>
      <w:r w:rsidRPr="009152EA">
        <w:rPr>
          <w:rFonts w:ascii="Tw Cen MT" w:hAnsi="Tw Cen MT" w:cs="Times New Roman"/>
          <w:sz w:val="18"/>
          <w:szCs w:val="18"/>
          <w:lang w:val="en-US"/>
        </w:rPr>
        <w:t xml:space="preserve"> </w:t>
      </w:r>
      <w:r w:rsidR="00763E07" w:rsidRPr="009152EA">
        <w:rPr>
          <w:rFonts w:ascii="Tw Cen MT" w:hAnsi="Tw Cen MT" w:cs="Times New Roman"/>
          <w:sz w:val="18"/>
          <w:szCs w:val="18"/>
          <w:lang w:val="en-US"/>
        </w:rPr>
        <w:t>Obesity is characterized with a disturbed equilibrium of organism’</w:t>
      </w:r>
      <w:r w:rsidR="00660299" w:rsidRPr="009152EA">
        <w:rPr>
          <w:rFonts w:ascii="Tw Cen MT" w:hAnsi="Tw Cen MT" w:cs="Times New Roman"/>
          <w:sz w:val="18"/>
          <w:szCs w:val="18"/>
          <w:lang w:val="en-US"/>
        </w:rPr>
        <w:t xml:space="preserve">s metabolism correlated to </w:t>
      </w:r>
      <w:r w:rsidR="005958E4" w:rsidRPr="009152EA">
        <w:rPr>
          <w:rFonts w:ascii="Tw Cen MT" w:hAnsi="Tw Cen MT" w:cs="Times New Roman"/>
          <w:sz w:val="18"/>
          <w:szCs w:val="18"/>
          <w:lang w:val="en-US"/>
        </w:rPr>
        <w:t>the risk of many systemic complications.</w:t>
      </w:r>
      <w:r w:rsidR="00C701E6" w:rsidRPr="009152EA">
        <w:rPr>
          <w:rFonts w:ascii="Tw Cen MT" w:hAnsi="Tw Cen MT" w:cs="Times New Roman"/>
          <w:sz w:val="18"/>
          <w:szCs w:val="18"/>
          <w:lang w:val="en-US"/>
        </w:rPr>
        <w:t xml:space="preserve"> Dental caries is a </w:t>
      </w:r>
      <w:r w:rsidR="00382022" w:rsidRPr="009152EA">
        <w:rPr>
          <w:rFonts w:ascii="Tw Cen MT" w:hAnsi="Tw Cen MT" w:cs="Times New Roman"/>
          <w:sz w:val="18"/>
          <w:szCs w:val="18"/>
          <w:lang w:val="en-US"/>
        </w:rPr>
        <w:t xml:space="preserve">multi-factorial </w:t>
      </w:r>
      <w:r w:rsidR="00C701E6" w:rsidRPr="009152EA">
        <w:rPr>
          <w:rFonts w:ascii="Tw Cen MT" w:hAnsi="Tw Cen MT" w:cs="Times New Roman"/>
          <w:sz w:val="18"/>
          <w:szCs w:val="18"/>
          <w:lang w:val="en-US"/>
        </w:rPr>
        <w:t>destructive disorder of the hard teeth tissues</w:t>
      </w:r>
      <w:r w:rsidR="007C20BA" w:rsidRPr="009152EA">
        <w:rPr>
          <w:rFonts w:ascii="Tw Cen MT" w:hAnsi="Tw Cen MT" w:cs="Times New Roman"/>
          <w:sz w:val="18"/>
          <w:szCs w:val="18"/>
          <w:lang w:val="en-US"/>
        </w:rPr>
        <w:t xml:space="preserve"> </w:t>
      </w:r>
      <w:r w:rsidR="00382022" w:rsidRPr="009152EA">
        <w:rPr>
          <w:rFonts w:ascii="Tw Cen MT" w:hAnsi="Tw Cen MT" w:cs="Times New Roman"/>
          <w:sz w:val="18"/>
          <w:szCs w:val="18"/>
          <w:lang w:val="en-US"/>
        </w:rPr>
        <w:t>with considerable social-medical consequences.</w:t>
      </w:r>
      <w:r w:rsidR="00220220" w:rsidRPr="009152EA">
        <w:rPr>
          <w:rFonts w:ascii="Tw Cen MT" w:eastAsia="Times New Roman" w:hAnsi="Tw Cen MT" w:cs="Times New Roman"/>
          <w:sz w:val="18"/>
          <w:szCs w:val="18"/>
          <w:lang w:eastAsia="bg-BG"/>
        </w:rPr>
        <w:t xml:space="preserve"> </w:t>
      </w:r>
      <w:r w:rsidR="00220220" w:rsidRPr="009152EA">
        <w:rPr>
          <w:rFonts w:ascii="Tw Cen MT" w:eastAsia="Times New Roman" w:hAnsi="Tw Cen MT" w:cs="Times New Roman"/>
          <w:sz w:val="18"/>
          <w:szCs w:val="18"/>
          <w:lang w:val="en-US" w:eastAsia="bg-BG"/>
        </w:rPr>
        <w:t xml:space="preserve">Plenty of studies are associated to the complex interrelations between both of these diseases. </w:t>
      </w:r>
      <w:r w:rsidR="000170CA" w:rsidRPr="009152EA">
        <w:rPr>
          <w:rFonts w:ascii="Tw Cen MT" w:hAnsi="Tw Cen MT" w:cs="Times New Roman"/>
          <w:sz w:val="18"/>
          <w:szCs w:val="18"/>
          <w:lang w:val="en-US"/>
        </w:rPr>
        <w:t>[1-14</w:t>
      </w:r>
      <w:r w:rsidR="003D615C" w:rsidRPr="009152EA">
        <w:rPr>
          <w:rFonts w:ascii="Tw Cen MT" w:hAnsi="Tw Cen MT" w:cs="Times New Roman"/>
          <w:sz w:val="18"/>
          <w:szCs w:val="18"/>
          <w:lang w:val="en-US"/>
        </w:rPr>
        <w:t>]</w:t>
      </w:r>
      <w:r w:rsidR="00145FF2" w:rsidRPr="009152EA">
        <w:rPr>
          <w:rFonts w:ascii="Tw Cen MT" w:eastAsia="Times New Roman" w:hAnsi="Tw Cen MT" w:cs="Times New Roman"/>
          <w:sz w:val="18"/>
          <w:szCs w:val="18"/>
          <w:lang w:val="en-US" w:eastAsia="bg-BG"/>
        </w:rPr>
        <w:t xml:space="preserve"> </w:t>
      </w:r>
    </w:p>
    <w:p w:rsidR="007D4CE1" w:rsidRDefault="00D93DEB" w:rsidP="00DA39F4">
      <w:pPr>
        <w:widowControl w:val="0"/>
        <w:spacing w:before="3" w:after="0" w:line="276" w:lineRule="auto"/>
        <w:rPr>
          <w:rFonts w:ascii="Tw Cen MT" w:hAnsi="Tw Cen MT" w:cs="Times New Roman"/>
          <w:sz w:val="18"/>
          <w:szCs w:val="18"/>
          <w:lang w:val="en-US"/>
        </w:rPr>
      </w:pPr>
      <w:r w:rsidRPr="0005332A">
        <w:rPr>
          <w:rFonts w:ascii="Tw Cen MT" w:hAnsi="Tw Cen MT" w:cs="Times New Roman"/>
          <w:b/>
          <w:sz w:val="18"/>
          <w:szCs w:val="18"/>
          <w:lang w:val="en-US"/>
        </w:rPr>
        <w:t xml:space="preserve">The </w:t>
      </w:r>
      <w:r w:rsidR="00CA6435" w:rsidRPr="0005332A">
        <w:rPr>
          <w:rFonts w:ascii="Tw Cen MT" w:hAnsi="Tw Cen MT" w:cs="Times New Roman"/>
          <w:b/>
          <w:sz w:val="18"/>
          <w:szCs w:val="18"/>
          <w:lang w:val="en-US"/>
        </w:rPr>
        <w:t>purpose</w:t>
      </w:r>
      <w:r w:rsidR="00CA6435" w:rsidRPr="009152EA">
        <w:rPr>
          <w:rFonts w:ascii="Tw Cen MT" w:hAnsi="Tw Cen MT" w:cs="Times New Roman"/>
          <w:sz w:val="18"/>
          <w:szCs w:val="18"/>
          <w:lang w:val="en-US"/>
        </w:rPr>
        <w:t xml:space="preserve"> of the study is</w:t>
      </w:r>
      <w:r w:rsidR="00D65C06" w:rsidRPr="009152EA">
        <w:rPr>
          <w:rFonts w:ascii="Tw Cen MT" w:hAnsi="Tw Cen MT" w:cs="Times New Roman"/>
          <w:sz w:val="18"/>
          <w:szCs w:val="18"/>
          <w:lang w:val="en-US"/>
        </w:rPr>
        <w:t xml:space="preserve"> related to analyzing</w:t>
      </w:r>
      <w:r w:rsidR="00CA6435" w:rsidRPr="009152EA">
        <w:rPr>
          <w:rFonts w:ascii="Tw Cen MT" w:hAnsi="Tw Cen MT" w:cs="Times New Roman"/>
          <w:sz w:val="18"/>
          <w:szCs w:val="18"/>
          <w:lang w:val="en-US"/>
        </w:rPr>
        <w:t xml:space="preserve"> the </w:t>
      </w:r>
      <w:r w:rsidR="00415963" w:rsidRPr="009152EA">
        <w:rPr>
          <w:rFonts w:ascii="Tw Cen MT" w:hAnsi="Tw Cen MT" w:cs="Times New Roman"/>
          <w:sz w:val="18"/>
          <w:szCs w:val="18"/>
          <w:lang w:val="en-US"/>
        </w:rPr>
        <w:t xml:space="preserve">significance </w:t>
      </w:r>
      <w:r w:rsidRPr="009152EA">
        <w:rPr>
          <w:rFonts w:ascii="Tw Cen MT" w:hAnsi="Tw Cen MT" w:cs="Times New Roman"/>
          <w:sz w:val="18"/>
          <w:szCs w:val="18"/>
          <w:lang w:val="en-US"/>
        </w:rPr>
        <w:t>of various variables for the</w:t>
      </w:r>
      <w:r w:rsidR="00A65819" w:rsidRPr="009152EA">
        <w:rPr>
          <w:rFonts w:ascii="Tw Cen MT" w:hAnsi="Tw Cen MT" w:cs="Times New Roman"/>
          <w:sz w:val="18"/>
          <w:szCs w:val="18"/>
          <w:lang w:val="en-US"/>
        </w:rPr>
        <w:t xml:space="preserve"> </w:t>
      </w:r>
      <w:r w:rsidR="00415963" w:rsidRPr="009152EA">
        <w:rPr>
          <w:rFonts w:ascii="Tw Cen MT" w:hAnsi="Tw Cen MT" w:cs="Times New Roman"/>
          <w:sz w:val="18"/>
          <w:szCs w:val="18"/>
          <w:lang w:val="en-US"/>
        </w:rPr>
        <w:t>interaction</w:t>
      </w:r>
      <w:r w:rsidRPr="009152EA">
        <w:rPr>
          <w:rFonts w:ascii="Tw Cen MT" w:hAnsi="Tw Cen MT" w:cs="Times New Roman"/>
          <w:sz w:val="18"/>
          <w:szCs w:val="18"/>
          <w:lang w:val="en-US"/>
        </w:rPr>
        <w:t>s</w:t>
      </w:r>
      <w:r w:rsidR="00415963" w:rsidRPr="009152EA">
        <w:rPr>
          <w:rFonts w:ascii="Tw Cen MT" w:hAnsi="Tw Cen MT" w:cs="Times New Roman"/>
          <w:sz w:val="18"/>
          <w:szCs w:val="18"/>
          <w:lang w:val="en-US"/>
        </w:rPr>
        <w:t xml:space="preserve"> between obesity and oral health among children in the context of a literature review.</w:t>
      </w:r>
      <w:r w:rsidR="00332833" w:rsidRPr="009152EA">
        <w:rPr>
          <w:rFonts w:ascii="Tw Cen MT" w:hAnsi="Tw Cen MT" w:cs="Times New Roman"/>
          <w:sz w:val="18"/>
          <w:szCs w:val="18"/>
          <w:lang w:val="en-US"/>
        </w:rPr>
        <w:t xml:space="preserve"> </w:t>
      </w:r>
      <w:r w:rsidR="00332833" w:rsidRPr="00357CB8">
        <w:rPr>
          <w:rFonts w:ascii="Tw Cen MT" w:hAnsi="Tw Cen MT" w:cs="Times New Roman"/>
          <w:b/>
          <w:sz w:val="18"/>
          <w:szCs w:val="18"/>
          <w:lang w:val="en-US"/>
        </w:rPr>
        <w:t>Methodology &amp; Theoretical Orientation</w:t>
      </w:r>
      <w:r w:rsidR="00415963" w:rsidRPr="009152EA">
        <w:rPr>
          <w:rFonts w:ascii="Tw Cen MT" w:hAnsi="Tw Cen MT" w:cs="Times New Roman"/>
          <w:sz w:val="18"/>
          <w:szCs w:val="18"/>
          <w:lang w:val="en-US"/>
        </w:rPr>
        <w:t xml:space="preserve"> </w:t>
      </w:r>
      <w:r w:rsidR="00332833" w:rsidRPr="009152EA">
        <w:rPr>
          <w:rFonts w:ascii="Tw Cen MT" w:hAnsi="Tw Cen MT" w:cs="Times New Roman"/>
          <w:sz w:val="18"/>
          <w:szCs w:val="18"/>
          <w:lang w:val="en-US"/>
        </w:rPr>
        <w:t>Nowadays r</w:t>
      </w:r>
      <w:r w:rsidR="0046646C" w:rsidRPr="009152EA">
        <w:rPr>
          <w:rFonts w:ascii="Tw Cen MT" w:hAnsi="Tw Cen MT" w:cs="Times New Roman"/>
          <w:sz w:val="18"/>
          <w:szCs w:val="18"/>
          <w:lang w:val="en-US"/>
        </w:rPr>
        <w:t>esearchers focus their investigations on the</w:t>
      </w:r>
      <w:r w:rsidR="003A79D4" w:rsidRPr="009152EA">
        <w:rPr>
          <w:rFonts w:ascii="Tw Cen MT" w:hAnsi="Tw Cen MT" w:cs="Times New Roman"/>
          <w:sz w:val="18"/>
          <w:szCs w:val="18"/>
          <w:lang w:val="en-US"/>
        </w:rPr>
        <w:t xml:space="preserve"> influence</w:t>
      </w:r>
      <w:r w:rsidR="0046646C" w:rsidRPr="009152EA">
        <w:rPr>
          <w:rFonts w:ascii="Tw Cen MT" w:hAnsi="Tw Cen MT" w:cs="Times New Roman"/>
          <w:sz w:val="18"/>
          <w:szCs w:val="18"/>
          <w:lang w:val="en-US"/>
        </w:rPr>
        <w:t>s of the</w:t>
      </w:r>
      <w:r w:rsidR="006E129B" w:rsidRPr="009152EA">
        <w:rPr>
          <w:rFonts w:ascii="Tw Cen MT" w:hAnsi="Tw Cen MT" w:cs="Times New Roman"/>
          <w:sz w:val="18"/>
          <w:szCs w:val="18"/>
          <w:lang w:val="en-US"/>
        </w:rPr>
        <w:t xml:space="preserve"> genetic prerequisites and epigenetic mechanisms, biological criteria and environmental variables</w:t>
      </w:r>
      <w:r w:rsidR="00633BC7" w:rsidRPr="009152EA">
        <w:rPr>
          <w:rFonts w:ascii="Tw Cen MT" w:hAnsi="Tw Cen MT" w:cs="Times New Roman"/>
          <w:sz w:val="18"/>
          <w:szCs w:val="18"/>
          <w:lang w:val="en-US"/>
        </w:rPr>
        <w:t>,</w:t>
      </w:r>
      <w:r w:rsidR="006E129B" w:rsidRPr="009152EA">
        <w:rPr>
          <w:rFonts w:ascii="Tw Cen MT" w:eastAsia="Tw Cen MT" w:hAnsi="Tw Cen MT" w:cs="Times New Roman"/>
          <w:sz w:val="18"/>
          <w:szCs w:val="18"/>
          <w:lang w:val="en-US"/>
        </w:rPr>
        <w:t xml:space="preserve"> </w:t>
      </w:r>
      <w:r w:rsidR="0046646C" w:rsidRPr="009152EA">
        <w:rPr>
          <w:rFonts w:ascii="Tw Cen MT" w:hAnsi="Tw Cen MT" w:cs="Times New Roman"/>
          <w:sz w:val="18"/>
          <w:szCs w:val="18"/>
          <w:lang w:val="en-US"/>
        </w:rPr>
        <w:t>dietary regime, sugar consumption, educational qualification of parents and their attitude</w:t>
      </w:r>
      <w:r w:rsidR="00332833" w:rsidRPr="009152EA">
        <w:rPr>
          <w:rFonts w:ascii="Tw Cen MT" w:hAnsi="Tw Cen MT" w:cs="Times New Roman"/>
          <w:sz w:val="18"/>
          <w:szCs w:val="18"/>
          <w:lang w:val="en-US"/>
        </w:rPr>
        <w:t>s</w:t>
      </w:r>
      <w:r w:rsidR="0046646C" w:rsidRPr="009152EA">
        <w:rPr>
          <w:rFonts w:ascii="Tw Cen MT" w:hAnsi="Tw Cen MT" w:cs="Times New Roman"/>
          <w:sz w:val="18"/>
          <w:szCs w:val="18"/>
          <w:lang w:val="en-US"/>
        </w:rPr>
        <w:t xml:space="preserve"> towards the necessity of health cares, social-economic conditions</w:t>
      </w:r>
      <w:r w:rsidR="003E0FC4" w:rsidRPr="009152EA">
        <w:rPr>
          <w:rFonts w:ascii="Tw Cen MT" w:hAnsi="Tw Cen MT" w:cs="Times New Roman"/>
          <w:sz w:val="18"/>
          <w:szCs w:val="18"/>
          <w:lang w:val="en-US"/>
        </w:rPr>
        <w:t xml:space="preserve"> </w:t>
      </w:r>
      <w:r w:rsidR="0046646C" w:rsidRPr="009152EA">
        <w:rPr>
          <w:rFonts w:ascii="Tw Cen MT" w:hAnsi="Tw Cen MT" w:cs="Times New Roman"/>
          <w:sz w:val="18"/>
          <w:szCs w:val="18"/>
          <w:lang w:val="en-US"/>
        </w:rPr>
        <w:t xml:space="preserve">during the different periods of childhood upon the </w:t>
      </w:r>
      <w:r w:rsidR="00332833" w:rsidRPr="009152EA">
        <w:rPr>
          <w:rFonts w:ascii="Tw Cen MT" w:hAnsi="Tw Cen MT" w:cs="Times New Roman"/>
          <w:sz w:val="18"/>
          <w:szCs w:val="18"/>
          <w:lang w:val="en-US"/>
        </w:rPr>
        <w:t xml:space="preserve">mutual </w:t>
      </w:r>
      <w:r w:rsidR="0046646C" w:rsidRPr="009152EA">
        <w:rPr>
          <w:rFonts w:ascii="Tw Cen MT" w:hAnsi="Tw Cen MT" w:cs="Times New Roman"/>
          <w:sz w:val="18"/>
          <w:szCs w:val="18"/>
          <w:lang w:val="en-US"/>
        </w:rPr>
        <w:t>dynamics and fluctuations on individual</w:t>
      </w:r>
      <w:r w:rsidR="00F71D8A" w:rsidRPr="009152EA">
        <w:rPr>
          <w:rFonts w:ascii="Tw Cen MT" w:hAnsi="Tw Cen MT" w:cs="Times New Roman"/>
          <w:sz w:val="18"/>
          <w:szCs w:val="18"/>
          <w:lang w:val="en-US"/>
        </w:rPr>
        <w:t xml:space="preserve"> </w:t>
      </w:r>
      <w:r w:rsidR="0046646C" w:rsidRPr="009152EA">
        <w:rPr>
          <w:rFonts w:ascii="Tw Cen MT" w:hAnsi="Tw Cen MT" w:cs="Times New Roman"/>
          <w:sz w:val="18"/>
          <w:szCs w:val="18"/>
          <w:lang w:val="en-US"/>
        </w:rPr>
        <w:t>and community level</w:t>
      </w:r>
      <w:r w:rsidR="00332833" w:rsidRPr="009152EA">
        <w:rPr>
          <w:rFonts w:ascii="Tw Cen MT" w:hAnsi="Tw Cen MT" w:cs="Times New Roman"/>
          <w:sz w:val="18"/>
          <w:szCs w:val="18"/>
          <w:lang w:val="en-US"/>
        </w:rPr>
        <w:t xml:space="preserve"> of obesity and oral healthy. The methodology of summarizing and synthesizing a great variety of results concerning that matter conce</w:t>
      </w:r>
      <w:r w:rsidR="00B32E11" w:rsidRPr="009152EA">
        <w:rPr>
          <w:rFonts w:ascii="Tw Cen MT" w:hAnsi="Tw Cen MT" w:cs="Times New Roman"/>
          <w:sz w:val="18"/>
          <w:szCs w:val="18"/>
          <w:lang w:val="en-US"/>
        </w:rPr>
        <w:t xml:space="preserve">ntrates on enriching knowledge and elaborating contemporary conceptions for improvement of </w:t>
      </w:r>
      <w:r w:rsidR="00905F65" w:rsidRPr="009152EA">
        <w:rPr>
          <w:rFonts w:ascii="Tw Cen MT" w:hAnsi="Tw Cen MT" w:cs="Times New Roman"/>
          <w:sz w:val="18"/>
          <w:szCs w:val="18"/>
          <w:lang w:val="en-US"/>
        </w:rPr>
        <w:t>prophylactic cares</w:t>
      </w:r>
      <w:r w:rsidR="003E0FC4" w:rsidRPr="009152EA">
        <w:rPr>
          <w:rFonts w:ascii="Tw Cen MT" w:hAnsi="Tw Cen MT" w:cs="Times New Roman"/>
          <w:sz w:val="18"/>
          <w:szCs w:val="18"/>
          <w:lang w:val="en-US"/>
        </w:rPr>
        <w:t xml:space="preserve"> in interdisciplinary </w:t>
      </w:r>
      <w:r w:rsidR="00C07640" w:rsidRPr="009152EA">
        <w:rPr>
          <w:rFonts w:ascii="Tw Cen MT" w:hAnsi="Tw Cen MT" w:cs="Times New Roman"/>
          <w:sz w:val="18"/>
          <w:szCs w:val="18"/>
          <w:lang w:val="en-US"/>
        </w:rPr>
        <w:t>aspect</w:t>
      </w:r>
      <w:r w:rsidR="00905F65" w:rsidRPr="009152EA">
        <w:rPr>
          <w:rFonts w:ascii="Tw Cen MT" w:hAnsi="Tw Cen MT" w:cs="Times New Roman"/>
          <w:sz w:val="18"/>
          <w:szCs w:val="18"/>
          <w:lang w:val="en-US"/>
        </w:rPr>
        <w:t>.</w:t>
      </w:r>
      <w:r w:rsidR="00A15232" w:rsidRPr="009152EA">
        <w:rPr>
          <w:rFonts w:ascii="Tw Cen MT" w:hAnsi="Tw Cen MT" w:cs="Times New Roman"/>
          <w:sz w:val="18"/>
          <w:szCs w:val="18"/>
          <w:lang w:val="en-US"/>
        </w:rPr>
        <w:t xml:space="preserve"> </w:t>
      </w:r>
      <w:r w:rsidR="00A15232" w:rsidRPr="003D76C7">
        <w:rPr>
          <w:rFonts w:ascii="Tw Cen MT" w:hAnsi="Tw Cen MT" w:cs="Times New Roman"/>
          <w:b/>
          <w:sz w:val="18"/>
          <w:szCs w:val="18"/>
          <w:lang w:val="en-US"/>
        </w:rPr>
        <w:t>Findings</w:t>
      </w:r>
      <w:r w:rsidR="00A15232" w:rsidRPr="009152EA">
        <w:rPr>
          <w:rFonts w:ascii="Tw Cen MT" w:hAnsi="Tw Cen MT" w:cs="Times New Roman"/>
          <w:sz w:val="18"/>
          <w:szCs w:val="18"/>
          <w:lang w:val="en-US"/>
        </w:rPr>
        <w:t xml:space="preserve"> </w:t>
      </w:r>
      <w:r w:rsidR="00052D13" w:rsidRPr="009152EA">
        <w:rPr>
          <w:rFonts w:ascii="Tw Cen MT" w:hAnsi="Tw Cen MT" w:cs="Times New Roman"/>
          <w:sz w:val="18"/>
          <w:szCs w:val="18"/>
          <w:lang w:val="en-US"/>
        </w:rPr>
        <w:t xml:space="preserve">It has been established that children suffering from </w:t>
      </w:r>
      <w:r w:rsidR="00830033" w:rsidRPr="009152EA">
        <w:rPr>
          <w:rFonts w:ascii="Tw Cen MT" w:hAnsi="Tw Cen MT" w:cs="Times New Roman"/>
          <w:sz w:val="18"/>
          <w:szCs w:val="18"/>
          <w:lang w:val="en-US"/>
        </w:rPr>
        <w:t>obesity are characterized with higher concentrations of secretory immunoglobulin A (sIg A), lower stimulated secretion rates of saliva, vari</w:t>
      </w:r>
      <w:r w:rsidR="00250EEF" w:rsidRPr="009152EA">
        <w:rPr>
          <w:rFonts w:ascii="Tw Cen MT" w:hAnsi="Tw Cen MT" w:cs="Times New Roman"/>
          <w:sz w:val="18"/>
          <w:szCs w:val="18"/>
          <w:lang w:val="en-US"/>
        </w:rPr>
        <w:t>ous oral microbial profiles. [15</w:t>
      </w:r>
      <w:r w:rsidR="00830033" w:rsidRPr="009152EA">
        <w:rPr>
          <w:rFonts w:ascii="Tw Cen MT" w:hAnsi="Tw Cen MT" w:cs="Times New Roman"/>
          <w:sz w:val="18"/>
          <w:szCs w:val="18"/>
          <w:lang w:val="en-US"/>
        </w:rPr>
        <w:t>] Obesity and caries are associated with environmental parameters as prolonged time for TV watching, application of new multimedia technologies and decreased ra</w:t>
      </w:r>
      <w:r w:rsidR="00250EEF" w:rsidRPr="009152EA">
        <w:rPr>
          <w:rFonts w:ascii="Tw Cen MT" w:hAnsi="Tw Cen MT" w:cs="Times New Roman"/>
          <w:sz w:val="18"/>
          <w:szCs w:val="18"/>
          <w:lang w:val="en-US"/>
        </w:rPr>
        <w:t>te of physical activity. [16</w:t>
      </w:r>
      <w:r w:rsidR="00830033" w:rsidRPr="009152EA">
        <w:rPr>
          <w:rFonts w:ascii="Tw Cen MT" w:hAnsi="Tw Cen MT" w:cs="Times New Roman"/>
          <w:sz w:val="18"/>
          <w:szCs w:val="18"/>
          <w:lang w:val="en-US"/>
        </w:rPr>
        <w:t>]</w:t>
      </w:r>
      <w:r w:rsidR="007B2032" w:rsidRPr="009152EA">
        <w:rPr>
          <w:rFonts w:ascii="Tw Cen MT" w:hAnsi="Tw Cen MT" w:cs="Times New Roman"/>
          <w:sz w:val="18"/>
          <w:szCs w:val="18"/>
          <w:lang w:val="en-US"/>
        </w:rPr>
        <w:t xml:space="preserve"> The interrelation between both of these noxae concerns </w:t>
      </w:r>
      <w:r w:rsidR="00655A31" w:rsidRPr="009152EA">
        <w:rPr>
          <w:rFonts w:ascii="Tw Cen MT" w:hAnsi="Tw Cen MT" w:cs="Times New Roman"/>
          <w:sz w:val="18"/>
          <w:szCs w:val="18"/>
          <w:lang w:val="en-US"/>
        </w:rPr>
        <w:t xml:space="preserve">considerable consumption of harmful foods, low educational qualifications of parents and limited access to adequate health cares and services. </w:t>
      </w:r>
    </w:p>
    <w:p w:rsidR="00613314" w:rsidRPr="009152EA" w:rsidRDefault="00637137" w:rsidP="00DA39F4">
      <w:pPr>
        <w:widowControl w:val="0"/>
        <w:spacing w:before="3" w:after="0" w:line="276" w:lineRule="auto"/>
        <w:rPr>
          <w:rFonts w:ascii="Tw Cen MT" w:eastAsia="Times New Roman" w:hAnsi="Tw Cen MT" w:cs="Times New Roman"/>
          <w:sz w:val="18"/>
          <w:szCs w:val="18"/>
          <w:lang w:eastAsia="bg-BG"/>
        </w:rPr>
      </w:pPr>
      <w:r w:rsidRPr="009152EA">
        <w:rPr>
          <w:rFonts w:ascii="Tw Cen MT" w:hAnsi="Tw Cen MT" w:cs="Times New Roman"/>
          <w:sz w:val="18"/>
          <w:szCs w:val="18"/>
          <w:lang w:val="en-US"/>
        </w:rPr>
        <w:t>[</w:t>
      </w:r>
      <w:r w:rsidR="00250EEF" w:rsidRPr="009152EA">
        <w:rPr>
          <w:rFonts w:ascii="Tw Cen MT" w:hAnsi="Tw Cen MT" w:cs="Times New Roman"/>
          <w:sz w:val="18"/>
          <w:szCs w:val="18"/>
          <w:lang w:val="en-US"/>
        </w:rPr>
        <w:t>17, 18, 19</w:t>
      </w:r>
      <w:r w:rsidRPr="009152EA">
        <w:rPr>
          <w:rFonts w:ascii="Tw Cen MT" w:hAnsi="Tw Cen MT" w:cs="Times New Roman"/>
          <w:sz w:val="18"/>
          <w:szCs w:val="18"/>
          <w:lang w:val="en-US"/>
        </w:rPr>
        <w:t>]</w:t>
      </w:r>
    </w:p>
    <w:p w:rsidR="00AA47B2" w:rsidRDefault="00A16160" w:rsidP="00673A24">
      <w:pPr>
        <w:widowControl w:val="0"/>
        <w:shd w:val="clear" w:color="auto" w:fill="FFFFFF" w:themeFill="background1"/>
        <w:spacing w:before="3" w:after="0" w:line="276" w:lineRule="auto"/>
        <w:rPr>
          <w:rFonts w:ascii="Tw Cen MT" w:eastAsia="Tw Cen MT" w:hAnsi="Tw Cen MT" w:cs="Times New Roman"/>
          <w:sz w:val="18"/>
          <w:szCs w:val="18"/>
          <w:lang w:val="en-US"/>
        </w:rPr>
      </w:pPr>
      <w:r w:rsidRPr="009152EA">
        <w:rPr>
          <w:rFonts w:ascii="Tw Cen MT" w:hAnsi="Tw Cen MT" w:cs="Times New Roman"/>
          <w:sz w:val="18"/>
          <w:szCs w:val="18"/>
          <w:lang w:val="en-US"/>
        </w:rPr>
        <w:lastRenderedPageBreak/>
        <w:t xml:space="preserve">The specifics of tooth morphology and eruption process </w:t>
      </w:r>
      <w:r w:rsidR="005C17DE" w:rsidRPr="009152EA">
        <w:rPr>
          <w:rFonts w:ascii="Tw Cen MT" w:hAnsi="Tw Cen MT" w:cs="Times New Roman"/>
          <w:sz w:val="18"/>
          <w:szCs w:val="18"/>
          <w:lang w:val="en-US"/>
        </w:rPr>
        <w:t xml:space="preserve">correlate to micro- and macro-elements </w:t>
      </w:r>
      <w:r w:rsidR="00E34174" w:rsidRPr="009152EA">
        <w:rPr>
          <w:rFonts w:ascii="Tw Cen MT" w:hAnsi="Tw Cen MT" w:cs="Times New Roman"/>
          <w:sz w:val="18"/>
          <w:szCs w:val="18"/>
          <w:lang w:val="en-US"/>
        </w:rPr>
        <w:t>activity, with an accent on calcium and phosphat</w:t>
      </w:r>
      <w:r w:rsidR="00BE3E8A" w:rsidRPr="009152EA">
        <w:rPr>
          <w:rFonts w:ascii="Tw Cen MT" w:hAnsi="Tw Cen MT" w:cs="Times New Roman"/>
          <w:sz w:val="18"/>
          <w:szCs w:val="18"/>
          <w:lang w:val="en-US"/>
        </w:rPr>
        <w:t>e, vitamins A and D. [20, 21</w:t>
      </w:r>
      <w:r w:rsidR="00E34174" w:rsidRPr="009152EA">
        <w:rPr>
          <w:rFonts w:ascii="Tw Cen MT" w:hAnsi="Tw Cen MT" w:cs="Times New Roman"/>
          <w:sz w:val="18"/>
          <w:szCs w:val="18"/>
          <w:lang w:val="en-US"/>
        </w:rPr>
        <w:t>]</w:t>
      </w:r>
      <w:r w:rsidR="00AA47B2" w:rsidRPr="009152EA">
        <w:rPr>
          <w:rFonts w:ascii="Tw Cen MT" w:hAnsi="Tw Cen MT" w:cs="Times New Roman"/>
          <w:sz w:val="18"/>
          <w:szCs w:val="18"/>
          <w:lang w:val="en-US"/>
        </w:rPr>
        <w:t xml:space="preserve"> </w:t>
      </w:r>
      <w:r w:rsidR="00EB6761" w:rsidRPr="009152EA">
        <w:rPr>
          <w:rFonts w:ascii="Tw Cen MT" w:hAnsi="Tw Cen MT" w:cs="Times New Roman"/>
          <w:sz w:val="18"/>
          <w:szCs w:val="18"/>
          <w:lang w:val="en-US"/>
        </w:rPr>
        <w:t xml:space="preserve">In other studies devoted to analysis of interrelations between tooth decay, environmental factors and traits of the dietary regime in obese children is confirmed the significance of the patterns of foods’ and drinks’ consumption for the progression and aggravation of both of the disorders of obesity and carious process. </w:t>
      </w:r>
      <w:r w:rsidR="008F1EDC" w:rsidRPr="009152EA">
        <w:rPr>
          <w:rFonts w:ascii="Tw Cen MT" w:hAnsi="Tw Cen MT" w:cs="Times New Roman"/>
          <w:sz w:val="18"/>
          <w:szCs w:val="18"/>
          <w:lang w:val="en-US"/>
        </w:rPr>
        <w:t>[22, 23]</w:t>
      </w:r>
      <w:r w:rsidR="008E16D8" w:rsidRPr="009152EA">
        <w:rPr>
          <w:rFonts w:ascii="Tw Cen MT" w:hAnsi="Tw Cen MT" w:cs="Times New Roman"/>
          <w:sz w:val="18"/>
          <w:szCs w:val="18"/>
          <w:lang w:val="en-US"/>
        </w:rPr>
        <w:t xml:space="preserve"> </w:t>
      </w:r>
      <w:r w:rsidR="006E2DEA" w:rsidRPr="009152EA">
        <w:rPr>
          <w:rFonts w:ascii="Tw Cen MT" w:hAnsi="Tw Cen MT" w:cs="Times New Roman"/>
          <w:sz w:val="18"/>
          <w:szCs w:val="18"/>
          <w:lang w:val="en-US"/>
        </w:rPr>
        <w:t xml:space="preserve">Researchers accentuate on the </w:t>
      </w:r>
      <w:r w:rsidR="00B455C9" w:rsidRPr="009152EA">
        <w:rPr>
          <w:rFonts w:ascii="Tw Cen MT" w:hAnsi="Tw Cen MT" w:cs="Times New Roman"/>
          <w:sz w:val="18"/>
          <w:szCs w:val="18"/>
          <w:lang w:val="en-US"/>
        </w:rPr>
        <w:t xml:space="preserve">positive strong </w:t>
      </w:r>
      <w:r w:rsidR="006E2DEA" w:rsidRPr="009152EA">
        <w:rPr>
          <w:rFonts w:ascii="Tw Cen MT" w:hAnsi="Tw Cen MT" w:cs="Times New Roman"/>
          <w:sz w:val="18"/>
          <w:szCs w:val="18"/>
          <w:lang w:val="en-US"/>
        </w:rPr>
        <w:t xml:space="preserve">interrelations </w:t>
      </w:r>
      <w:r w:rsidR="003A2646" w:rsidRPr="009152EA">
        <w:rPr>
          <w:rFonts w:ascii="Tw Cen MT" w:hAnsi="Tw Cen MT" w:cs="Times New Roman"/>
          <w:sz w:val="18"/>
          <w:szCs w:val="18"/>
          <w:lang w:val="en-US"/>
        </w:rPr>
        <w:t xml:space="preserve">between </w:t>
      </w:r>
      <w:r w:rsidR="00B455C9" w:rsidRPr="009152EA">
        <w:rPr>
          <w:rFonts w:ascii="Tw Cen MT" w:hAnsi="Tw Cen MT" w:cs="Times New Roman"/>
          <w:sz w:val="18"/>
          <w:szCs w:val="18"/>
          <w:lang w:val="en-US"/>
        </w:rPr>
        <w:t xml:space="preserve">obesity and the severity and distribution of periodontal disorders, related to the intensified secretion of pro-inflammatory mediators from the fatty tissues of oral cavity. It correlates to diminished salivary flow and inhibited </w:t>
      </w:r>
      <w:r w:rsidR="00E121E6" w:rsidRPr="009152EA">
        <w:rPr>
          <w:rFonts w:ascii="Tw Cen MT" w:hAnsi="Tw Cen MT" w:cs="Times New Roman"/>
          <w:sz w:val="18"/>
          <w:szCs w:val="18"/>
          <w:lang w:val="en-US"/>
        </w:rPr>
        <w:t>protective anti-bacterial and anti-inflammatory properties</w:t>
      </w:r>
      <w:r w:rsidR="00B455C9" w:rsidRPr="009152EA">
        <w:rPr>
          <w:rFonts w:ascii="Tw Cen MT" w:hAnsi="Tw Cen MT" w:cs="Times New Roman"/>
          <w:sz w:val="18"/>
          <w:szCs w:val="18"/>
          <w:lang w:val="en-US"/>
        </w:rPr>
        <w:t xml:space="preserve"> of saliva</w:t>
      </w:r>
      <w:r w:rsidR="004B0203" w:rsidRPr="009152EA">
        <w:rPr>
          <w:rFonts w:ascii="Tw Cen MT" w:hAnsi="Tw Cen MT" w:cs="Times New Roman"/>
          <w:sz w:val="18"/>
          <w:szCs w:val="18"/>
          <w:lang w:val="en-US"/>
        </w:rPr>
        <w:t>. [24]</w:t>
      </w:r>
      <w:r w:rsidR="0033687B" w:rsidRPr="009152EA">
        <w:rPr>
          <w:rFonts w:ascii="Tw Cen MT" w:hAnsi="Tw Cen MT" w:cs="Times New Roman"/>
          <w:sz w:val="18"/>
          <w:szCs w:val="18"/>
          <w:lang w:val="en-US"/>
        </w:rPr>
        <w:t xml:space="preserve"> </w:t>
      </w:r>
      <w:r w:rsidR="009344F7" w:rsidRPr="009152EA">
        <w:rPr>
          <w:rFonts w:ascii="Tw Cen MT" w:hAnsi="Tw Cen MT" w:cs="Times New Roman"/>
          <w:sz w:val="18"/>
          <w:szCs w:val="18"/>
          <w:lang w:val="en-US"/>
        </w:rPr>
        <w:t xml:space="preserve">Plenty of studies </w:t>
      </w:r>
      <w:r w:rsidR="006345C6" w:rsidRPr="009152EA">
        <w:rPr>
          <w:rFonts w:ascii="Tw Cen MT" w:hAnsi="Tw Cen MT" w:cs="Times New Roman"/>
          <w:sz w:val="18"/>
          <w:szCs w:val="18"/>
          <w:lang w:val="en-US"/>
        </w:rPr>
        <w:t>explore the hypothesis that prolonged activity of environmental parameters provoke epigenetic fluctuations</w:t>
      </w:r>
      <w:r w:rsidR="005A7AEF" w:rsidRPr="009152EA">
        <w:rPr>
          <w:rFonts w:ascii="Tw Cen MT" w:hAnsi="Tw Cen MT" w:cs="Times New Roman"/>
          <w:sz w:val="18"/>
          <w:szCs w:val="18"/>
          <w:lang w:val="en-US"/>
        </w:rPr>
        <w:t xml:space="preserve"> related to growth factors and regulators of gene expression controlling growth,</w:t>
      </w:r>
      <w:r w:rsidR="006345C6" w:rsidRPr="009152EA">
        <w:rPr>
          <w:rFonts w:ascii="Tw Cen MT" w:hAnsi="Tw Cen MT" w:cs="Times New Roman"/>
          <w:sz w:val="18"/>
          <w:szCs w:val="18"/>
          <w:lang w:val="en-US"/>
        </w:rPr>
        <w:t xml:space="preserve"> with an impact upon the equilibrium of metabolism and disord</w:t>
      </w:r>
      <w:r w:rsidR="00CA67A9" w:rsidRPr="009152EA">
        <w:rPr>
          <w:rFonts w:ascii="Tw Cen MT" w:hAnsi="Tw Cen MT" w:cs="Times New Roman"/>
          <w:sz w:val="18"/>
          <w:szCs w:val="18"/>
          <w:lang w:val="en-US"/>
        </w:rPr>
        <w:t xml:space="preserve">ers related to its </w:t>
      </w:r>
      <w:r w:rsidR="00CE62F9" w:rsidRPr="009152EA">
        <w:rPr>
          <w:rFonts w:ascii="Tw Cen MT" w:hAnsi="Tw Cen MT" w:cs="Times New Roman"/>
          <w:sz w:val="18"/>
          <w:szCs w:val="18"/>
          <w:lang w:val="en-US"/>
        </w:rPr>
        <w:t>disturbance, including obesity.</w:t>
      </w:r>
      <w:r w:rsidR="00CE62F9" w:rsidRPr="009152EA">
        <w:rPr>
          <w:rFonts w:ascii="Tw Cen MT" w:eastAsia="Times New Roman" w:hAnsi="Tw Cen MT" w:cs="Times New Roman"/>
          <w:sz w:val="18"/>
          <w:szCs w:val="18"/>
          <w:lang w:val="en-US" w:eastAsia="bg-BG"/>
        </w:rPr>
        <w:t xml:space="preserve"> </w:t>
      </w:r>
      <w:r w:rsidR="006345C6" w:rsidRPr="009152EA">
        <w:rPr>
          <w:rFonts w:ascii="Tw Cen MT" w:eastAsia="Times New Roman" w:hAnsi="Tw Cen MT" w:cs="Times New Roman"/>
          <w:sz w:val="18"/>
          <w:szCs w:val="18"/>
          <w:lang w:val="en-US" w:eastAsia="bg-BG"/>
        </w:rPr>
        <w:t>[</w:t>
      </w:r>
      <w:r w:rsidR="0033687B" w:rsidRPr="009152EA">
        <w:rPr>
          <w:rFonts w:ascii="Tw Cen MT" w:eastAsia="Times New Roman" w:hAnsi="Tw Cen MT" w:cs="Times New Roman"/>
          <w:sz w:val="18"/>
          <w:szCs w:val="18"/>
          <w:lang w:val="en-US" w:eastAsia="bg-BG"/>
        </w:rPr>
        <w:t>25</w:t>
      </w:r>
      <w:r w:rsidR="00673BA0" w:rsidRPr="009152EA">
        <w:rPr>
          <w:rFonts w:ascii="Tw Cen MT" w:eastAsia="Times New Roman" w:hAnsi="Tw Cen MT" w:cs="Times New Roman"/>
          <w:sz w:val="18"/>
          <w:szCs w:val="18"/>
          <w:lang w:val="en-US" w:eastAsia="bg-BG"/>
        </w:rPr>
        <w:t>-29</w:t>
      </w:r>
      <w:r w:rsidR="0033687B" w:rsidRPr="009152EA">
        <w:rPr>
          <w:rFonts w:ascii="Tw Cen MT" w:eastAsia="Times New Roman" w:hAnsi="Tw Cen MT" w:cs="Times New Roman"/>
          <w:sz w:val="18"/>
          <w:szCs w:val="18"/>
          <w:lang w:val="en-US" w:eastAsia="bg-BG"/>
        </w:rPr>
        <w:t>]</w:t>
      </w:r>
      <w:r w:rsidR="00216C91" w:rsidRPr="009152EA">
        <w:rPr>
          <w:rFonts w:ascii="Tw Cen MT" w:eastAsia="Times New Roman" w:hAnsi="Tw Cen MT" w:cs="Times New Roman"/>
          <w:sz w:val="18"/>
          <w:szCs w:val="18"/>
          <w:lang w:val="en-US" w:eastAsia="bg-BG"/>
        </w:rPr>
        <w:t xml:space="preserve"> </w:t>
      </w:r>
      <w:r w:rsidR="00216C91" w:rsidRPr="00F2462E">
        <w:rPr>
          <w:rFonts w:ascii="Tw Cen MT" w:eastAsia="Tw Cen MT" w:hAnsi="Tw Cen MT" w:cs="Times New Roman"/>
          <w:b/>
          <w:sz w:val="18"/>
          <w:szCs w:val="18"/>
          <w:lang w:val="en-US"/>
        </w:rPr>
        <w:t>Conclusion &amp; Significance</w:t>
      </w:r>
      <w:r w:rsidR="00216C91" w:rsidRPr="009152EA">
        <w:rPr>
          <w:rFonts w:ascii="Tw Cen MT" w:eastAsia="Tw Cen MT" w:hAnsi="Tw Cen MT" w:cs="Times New Roman"/>
          <w:sz w:val="18"/>
          <w:szCs w:val="18"/>
          <w:lang w:val="en-US"/>
        </w:rPr>
        <w:t>:</w:t>
      </w:r>
      <w:r w:rsidR="00493AF1" w:rsidRPr="009152EA">
        <w:rPr>
          <w:rFonts w:ascii="Tw Cen MT" w:eastAsia="Tw Cen MT" w:hAnsi="Tw Cen MT" w:cs="Times New Roman"/>
          <w:sz w:val="18"/>
          <w:szCs w:val="18"/>
          <w:lang w:val="en-US"/>
        </w:rPr>
        <w:t xml:space="preserve"> </w:t>
      </w:r>
      <w:r w:rsidR="004F209C" w:rsidRPr="009152EA">
        <w:rPr>
          <w:rFonts w:ascii="Tw Cen MT" w:eastAsia="Tw Cen MT" w:hAnsi="Tw Cen MT" w:cs="Times New Roman"/>
          <w:sz w:val="18"/>
          <w:szCs w:val="18"/>
          <w:lang w:val="en-US"/>
        </w:rPr>
        <w:t>Profound scientific literature sources of investigation and analysis of interaction</w:t>
      </w:r>
      <w:r w:rsidR="00304970" w:rsidRPr="009152EA">
        <w:rPr>
          <w:rFonts w:ascii="Tw Cen MT" w:eastAsia="Tw Cen MT" w:hAnsi="Tw Cen MT" w:cs="Times New Roman"/>
          <w:sz w:val="18"/>
          <w:szCs w:val="18"/>
          <w:lang w:val="en-US"/>
        </w:rPr>
        <w:t>s</w:t>
      </w:r>
      <w:r w:rsidR="004F209C" w:rsidRPr="009152EA">
        <w:rPr>
          <w:rFonts w:ascii="Tw Cen MT" w:eastAsia="Tw Cen MT" w:hAnsi="Tw Cen MT" w:cs="Times New Roman"/>
          <w:sz w:val="18"/>
          <w:szCs w:val="18"/>
          <w:lang w:val="en-US"/>
        </w:rPr>
        <w:t xml:space="preserve"> between obesity and oral health in children emphasize on the necessity of coordination of the professional efforts and collaboration </w:t>
      </w:r>
      <w:r w:rsidR="00304970" w:rsidRPr="009152EA">
        <w:rPr>
          <w:rFonts w:ascii="Tw Cen MT" w:eastAsia="Tw Cen MT" w:hAnsi="Tw Cen MT" w:cs="Times New Roman"/>
          <w:sz w:val="18"/>
          <w:szCs w:val="18"/>
          <w:lang w:val="en-US"/>
        </w:rPr>
        <w:t>between physicians and dentists for ameliorating the oral-dental status of children with overweight and obesity.</w:t>
      </w:r>
      <w:r w:rsidR="006E42FC" w:rsidRPr="009152EA">
        <w:rPr>
          <w:rFonts w:ascii="Tw Cen MT" w:eastAsia="Tw Cen MT" w:hAnsi="Tw Cen MT" w:cs="Times New Roman"/>
          <w:sz w:val="18"/>
          <w:szCs w:val="18"/>
          <w:lang w:val="en-US"/>
        </w:rPr>
        <w:t xml:space="preserve"> Prophylactic programs, educational initiatives of motivation and re-motivation</w:t>
      </w:r>
      <w:r w:rsidR="00B1727F" w:rsidRPr="009152EA">
        <w:rPr>
          <w:rFonts w:ascii="Tw Cen MT" w:eastAsia="Tw Cen MT" w:hAnsi="Tw Cen MT" w:cs="Times New Roman"/>
          <w:sz w:val="18"/>
          <w:szCs w:val="18"/>
          <w:lang w:val="en-US"/>
        </w:rPr>
        <w:t xml:space="preserve"> addressed to</w:t>
      </w:r>
      <w:r w:rsidR="006E42FC" w:rsidRPr="009152EA">
        <w:rPr>
          <w:rFonts w:ascii="Tw Cen MT" w:eastAsia="Tw Cen MT" w:hAnsi="Tw Cen MT" w:cs="Times New Roman"/>
          <w:sz w:val="18"/>
          <w:szCs w:val="18"/>
          <w:lang w:val="en-US"/>
        </w:rPr>
        <w:t xml:space="preserve"> these children </w:t>
      </w:r>
      <w:r w:rsidR="00B1727F" w:rsidRPr="009152EA">
        <w:rPr>
          <w:rFonts w:ascii="Tw Cen MT" w:eastAsia="Tw Cen MT" w:hAnsi="Tw Cen MT" w:cs="Times New Roman"/>
          <w:sz w:val="18"/>
          <w:szCs w:val="18"/>
          <w:lang w:val="en-US"/>
        </w:rPr>
        <w:t xml:space="preserve">in order </w:t>
      </w:r>
      <w:r w:rsidR="006E42FC" w:rsidRPr="009152EA">
        <w:rPr>
          <w:rFonts w:ascii="Tw Cen MT" w:eastAsia="Tw Cen MT" w:hAnsi="Tw Cen MT" w:cs="Times New Roman"/>
          <w:sz w:val="18"/>
          <w:szCs w:val="18"/>
          <w:lang w:val="en-US"/>
        </w:rPr>
        <w:t>to change</w:t>
      </w:r>
      <w:r w:rsidR="00B1727F" w:rsidRPr="009152EA">
        <w:rPr>
          <w:rFonts w:ascii="Tw Cen MT" w:eastAsia="Tw Cen MT" w:hAnsi="Tw Cen MT" w:cs="Times New Roman"/>
          <w:sz w:val="18"/>
          <w:szCs w:val="18"/>
          <w:lang w:val="en-US"/>
        </w:rPr>
        <w:t xml:space="preserve"> definitely their eating habits, combined with improved quality and q</w:t>
      </w:r>
      <w:r w:rsidR="00226024">
        <w:rPr>
          <w:rFonts w:ascii="Tw Cen MT" w:eastAsia="Tw Cen MT" w:hAnsi="Tw Cen MT" w:cs="Times New Roman"/>
          <w:sz w:val="18"/>
          <w:szCs w:val="18"/>
          <w:lang w:val="en-US"/>
        </w:rPr>
        <w:t>uantity of oral hygiene cares are</w:t>
      </w:r>
      <w:r w:rsidR="00B1727F" w:rsidRPr="009152EA">
        <w:rPr>
          <w:rFonts w:ascii="Tw Cen MT" w:eastAsia="Tw Cen MT" w:hAnsi="Tw Cen MT" w:cs="Times New Roman"/>
          <w:sz w:val="18"/>
          <w:szCs w:val="18"/>
          <w:lang w:val="en-US"/>
        </w:rPr>
        <w:t xml:space="preserve"> of great significance for the efficient control and management of this metabolic disorder and all of the co-morbidities.  </w:t>
      </w:r>
      <w:r w:rsidR="00304970" w:rsidRPr="009152EA">
        <w:rPr>
          <w:rFonts w:ascii="Tw Cen MT" w:eastAsia="Tw Cen MT" w:hAnsi="Tw Cen MT" w:cs="Times New Roman"/>
          <w:sz w:val="18"/>
          <w:szCs w:val="18"/>
          <w:lang w:val="en-US"/>
        </w:rPr>
        <w:t xml:space="preserve">   </w:t>
      </w:r>
    </w:p>
    <w:p w:rsidR="007D4CE1" w:rsidRPr="009152EA" w:rsidRDefault="007D4CE1" w:rsidP="00673A24">
      <w:pPr>
        <w:widowControl w:val="0"/>
        <w:shd w:val="clear" w:color="auto" w:fill="FFFFFF" w:themeFill="background1"/>
        <w:spacing w:before="3" w:after="0" w:line="276" w:lineRule="auto"/>
        <w:rPr>
          <w:rFonts w:ascii="Tw Cen MT" w:hAnsi="Tw Cen MT" w:cs="Times New Roman"/>
          <w:sz w:val="18"/>
          <w:szCs w:val="18"/>
          <w:lang w:val="en-US"/>
        </w:rPr>
      </w:pPr>
    </w:p>
    <w:p w:rsidR="007D4CE1" w:rsidRDefault="007D4CE1" w:rsidP="00DB1F14">
      <w:pPr>
        <w:widowControl w:val="0"/>
        <w:spacing w:before="3" w:after="0" w:line="276" w:lineRule="auto"/>
        <w:rPr>
          <w:rFonts w:cstheme="minorHAnsi"/>
          <w:sz w:val="18"/>
          <w:szCs w:val="18"/>
          <w:lang w:val="en-US"/>
        </w:rPr>
        <w:sectPr w:rsidR="007D4CE1" w:rsidSect="007D4CE1">
          <w:type w:val="continuous"/>
          <w:pgSz w:w="11906" w:h="16838"/>
          <w:pgMar w:top="1417" w:right="1417" w:bottom="1417" w:left="1417" w:header="708" w:footer="708" w:gutter="0"/>
          <w:cols w:num="2" w:space="708"/>
          <w:docGrid w:linePitch="360"/>
        </w:sectPr>
      </w:pPr>
    </w:p>
    <w:p w:rsidR="007D4CE1" w:rsidRDefault="007D4CE1" w:rsidP="007D4CE1">
      <w:pPr>
        <w:spacing w:line="204" w:lineRule="exact"/>
        <w:rPr>
          <w:rFonts w:cstheme="minorHAnsi"/>
          <w:b/>
          <w:sz w:val="18"/>
          <w:szCs w:val="18"/>
          <w:lang w:val="en-US"/>
        </w:rPr>
      </w:pPr>
    </w:p>
    <w:p w:rsidR="007D4CE1" w:rsidRPr="00EE4283" w:rsidRDefault="007D4CE1" w:rsidP="007D4CE1">
      <w:pPr>
        <w:spacing w:line="204" w:lineRule="exact"/>
        <w:rPr>
          <w:rFonts w:ascii="Arial" w:eastAsia="Tw Cen MT" w:hAnsi="Tw Cen MT" w:cs="Tw Cen MT"/>
          <w:b/>
          <w:sz w:val="20"/>
          <w:lang w:val="en-US"/>
        </w:rPr>
      </w:pPr>
      <w:r>
        <w:rPr>
          <w:rFonts w:ascii="Arial" w:eastAsia="Tw Cen MT" w:hAnsi="Tw Cen MT" w:cs="Tw Cen MT"/>
          <w:b/>
          <w:color w:val="BF5A14"/>
          <w:sz w:val="20"/>
          <w:lang w:val="en-US"/>
        </w:rPr>
        <w:t>Recent Publications:</w:t>
      </w:r>
    </w:p>
    <w:p w:rsidR="00CF5A2A" w:rsidRDefault="00CF5A2A" w:rsidP="007D4CE1">
      <w:pPr>
        <w:widowControl w:val="0"/>
        <w:spacing w:before="3" w:after="0" w:line="276" w:lineRule="auto"/>
        <w:rPr>
          <w:rFonts w:cstheme="minorHAnsi"/>
          <w:sz w:val="18"/>
          <w:szCs w:val="18"/>
          <w:lang w:val="en-US"/>
        </w:rPr>
        <w:sectPr w:rsidR="00CF5A2A" w:rsidSect="007D4CE1">
          <w:type w:val="continuous"/>
          <w:pgSz w:w="11906" w:h="16838"/>
          <w:pgMar w:top="1417" w:right="1417" w:bottom="1417" w:left="1417" w:header="708" w:footer="708" w:gutter="0"/>
          <w:cols w:space="708"/>
          <w:docGrid w:linePitch="360"/>
        </w:sectPr>
      </w:pP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lastRenderedPageBreak/>
        <w:t>1. Halder S, Kaul R, Angrish P, Saha S, Bhattacharya B, Mitra M. Association between Obesity and Oral Health Status in Schoolchildren: A Survey in Five Districts of West Bengal, India. Int J Clin Pediatr Dent 2018; 11(3):233-237.</w:t>
      </w: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t>2. Jaymi Lyn-Adams, Linda D. Boyd. Childhood Obesity Screening and Education in Dental Practice. Decisions in Dentistry. April 2020; 6(4):38–41.</w:t>
      </w: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t>3. U.S. Centers for Disease Control and Prevention. Childhood Obesity Facts. Available at: cdc.gov/obesity/data/childhood.html. Accessed March 4, 2020.</w:t>
      </w: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t>4. World Health Org</w:t>
      </w:r>
      <w:r w:rsidR="00CF5A2A">
        <w:rPr>
          <w:rFonts w:cstheme="minorHAnsi"/>
          <w:sz w:val="18"/>
          <w:szCs w:val="18"/>
          <w:lang w:val="en-US"/>
        </w:rPr>
        <w:t xml:space="preserve">anization. Facts and figures on </w:t>
      </w:r>
      <w:r w:rsidRPr="00B305CD">
        <w:rPr>
          <w:rFonts w:cstheme="minorHAnsi"/>
          <w:sz w:val="18"/>
          <w:szCs w:val="18"/>
          <w:lang w:val="en-US"/>
        </w:rPr>
        <w:lastRenderedPageBreak/>
        <w:t>childhood obesity. Available at: who.int/end-childhood-obesity/facts/en/. Accessed March 4, 2020.</w:t>
      </w: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t>5. Kumar S, Kelly AS. Review of childhood obesity: From epidemiology, etiology, and comorbidities to clinical assessment and treatment. Mayo Clin Proc. 2017; 92:251–265.</w:t>
      </w: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t>6. U.S. Centers for Disease Control and Prevention. Childhood Obesity Causes and Consequences. Available at: cdc.gov/obesity/childhood/causes.html. Accessed March 4, 2020.</w:t>
      </w: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t>7. Sahoo K, Sahoo B, Choudhury AK, Sofi NY, Kumar R, Bhadoria AS. Childhood obesity: Causes and consequences. J Fam Med Prim Care. 2015; 4:187–192.</w:t>
      </w:r>
    </w:p>
    <w:p w:rsidR="007D4CE1" w:rsidRDefault="007D4CE1" w:rsidP="007D4CE1">
      <w:pPr>
        <w:widowControl w:val="0"/>
        <w:spacing w:before="3" w:after="0" w:line="276" w:lineRule="auto"/>
        <w:rPr>
          <w:rFonts w:cstheme="minorHAnsi"/>
          <w:sz w:val="18"/>
          <w:szCs w:val="18"/>
          <w:lang w:val="en-US"/>
        </w:rPr>
      </w:pP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t>8. Chi DL, Luu M, Chu F. A scoping review of epidemiologic risk factors for pediatric obesity: Implications for future childhood obesity and dental caries prevention research. J Public Health Dent. 2017; 77:S8–S31.</w:t>
      </w: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t>9. Martens L, De Smet S, Yusof MYPM, Rajasekharan S. Association between overweight/obesity and periodontal disease in children and adolescents: A systematic review and meta-analysis. Eur Arch Paediatr Dent. 2017; 18:69–82.</w:t>
      </w: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t>10. Cole DD, Boyd LD, Vineyard J, Giblin-Scanlon LJ. Childhood obesity: dental hygienists’ beliefs attitudes and barriers to patient education. J Dent Hyg. 2018; 92:38–49.</w:t>
      </w: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t>11. Divaris K, Bhaskar V, McGraw KA. Pediatric obesity-related curricular content and training in dental schools and dental hygiene programs: systematic review and recommendations. J Public Health Dent. 2017; 77:S96–S103.</w:t>
      </w: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t>12. Abdulmonem A. Alshihri, Helen J. Rogers, Mohammed A. Alqahtani, Mohammed S. Aldossary, "Association between Dental Caries and Obesity in Children and Young People: A Narrative Review", International Journal of Dentistry, vol. 2019, Article ID 9105759, 8 pages, 2019. https://doi.org/10.1155/2019/9105759</w:t>
      </w: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t xml:space="preserve">13. R. Levine, “Obesity and oral disease—a challenge for dentistry,” British Dental Journal, vol. 213, no. 9, pp. 453–456, 2012. </w:t>
      </w:r>
    </w:p>
    <w:p w:rsidR="007D4CE1" w:rsidRPr="00B305CD" w:rsidRDefault="007D4CE1" w:rsidP="007D4CE1">
      <w:pPr>
        <w:widowControl w:val="0"/>
        <w:spacing w:before="3" w:after="0" w:line="276" w:lineRule="auto"/>
        <w:rPr>
          <w:rFonts w:cstheme="minorHAnsi"/>
          <w:sz w:val="18"/>
          <w:szCs w:val="18"/>
          <w:lang w:val="en-US"/>
        </w:rPr>
      </w:pPr>
      <w:r w:rsidRPr="00B305CD">
        <w:rPr>
          <w:rFonts w:cstheme="minorHAnsi"/>
          <w:sz w:val="18"/>
          <w:szCs w:val="18"/>
          <w:lang w:val="en-US"/>
        </w:rPr>
        <w:t xml:space="preserve">14. M. Hooley, H. Skouteris, C. Boganin, J. Satur, and N. Kilpatrick, “Body mass index and dental caries in children and adolescents: a systematic review of literature published 2004 to 2011,” Systematic Reviews, vol. 1, no. 1, p. 57, 2012. </w:t>
      </w:r>
    </w:p>
    <w:p w:rsidR="007D4CE1" w:rsidRPr="00B305CD" w:rsidRDefault="007D4CE1" w:rsidP="007D4CE1">
      <w:pPr>
        <w:widowControl w:val="0"/>
        <w:spacing w:before="3" w:after="0" w:line="276" w:lineRule="auto"/>
        <w:rPr>
          <w:rFonts w:eastAsia="Times New Roman" w:cstheme="minorHAnsi"/>
          <w:sz w:val="18"/>
          <w:szCs w:val="18"/>
          <w:lang w:eastAsia="bg-BG"/>
        </w:rPr>
      </w:pPr>
      <w:r w:rsidRPr="00B305CD">
        <w:rPr>
          <w:rFonts w:cstheme="minorHAnsi"/>
          <w:sz w:val="18"/>
          <w:szCs w:val="18"/>
          <w:lang w:val="en-US"/>
        </w:rPr>
        <w:t xml:space="preserve">15. </w:t>
      </w:r>
      <w:r w:rsidRPr="00B305CD">
        <w:rPr>
          <w:rFonts w:eastAsia="Times New Roman" w:cstheme="minorHAnsi"/>
          <w:sz w:val="18"/>
          <w:szCs w:val="18"/>
          <w:lang w:eastAsia="bg-BG"/>
        </w:rPr>
        <w:t xml:space="preserve">H. A. Alkarimi, R. G. Watt, H. Pikhart, A. Sheiham, and G. Tsakos, “Dental caries and growth in school-age children,” </w:t>
      </w:r>
      <w:r w:rsidRPr="00B305CD">
        <w:rPr>
          <w:rFonts w:eastAsia="Times New Roman" w:cstheme="minorHAnsi"/>
          <w:i/>
          <w:iCs/>
          <w:sz w:val="18"/>
          <w:szCs w:val="18"/>
          <w:lang w:eastAsia="bg-BG"/>
        </w:rPr>
        <w:t>Pediatrics</w:t>
      </w:r>
      <w:r w:rsidRPr="00B305CD">
        <w:rPr>
          <w:rFonts w:eastAsia="Times New Roman" w:cstheme="minorHAnsi"/>
          <w:sz w:val="18"/>
          <w:szCs w:val="18"/>
          <w:lang w:eastAsia="bg-BG"/>
        </w:rPr>
        <w:t xml:space="preserve">, vol. 133, no. 3, pp. e616–e623, 2014. </w:t>
      </w:r>
    </w:p>
    <w:p w:rsidR="007D4CE1" w:rsidRPr="00B305CD" w:rsidRDefault="007D4CE1" w:rsidP="007D4CE1">
      <w:pPr>
        <w:widowControl w:val="0"/>
        <w:spacing w:before="3" w:after="0" w:line="276" w:lineRule="auto"/>
        <w:rPr>
          <w:rFonts w:eastAsia="Times New Roman" w:cstheme="minorHAnsi"/>
          <w:sz w:val="18"/>
          <w:szCs w:val="18"/>
          <w:lang w:eastAsia="bg-BG"/>
        </w:rPr>
      </w:pPr>
      <w:r w:rsidRPr="00B305CD">
        <w:rPr>
          <w:rFonts w:eastAsia="Times New Roman" w:cstheme="minorHAnsi"/>
          <w:sz w:val="18"/>
          <w:szCs w:val="18"/>
          <w:lang w:val="en-US" w:eastAsia="bg-BG"/>
        </w:rPr>
        <w:t xml:space="preserve">16. </w:t>
      </w:r>
      <w:r w:rsidRPr="00B305CD">
        <w:rPr>
          <w:rFonts w:eastAsia="Times New Roman" w:cstheme="minorHAnsi"/>
          <w:sz w:val="18"/>
          <w:szCs w:val="18"/>
          <w:lang w:eastAsia="bg-BG"/>
        </w:rPr>
        <w:t>F. Schwendicke, T. Lamont, and N. Innes, “Outcomes in trials for management of caries lesions (OuTMaC): protocol,” Trials, vol. 16, no. 1, p. 397, 2015.</w:t>
      </w:r>
    </w:p>
    <w:p w:rsidR="007D4CE1" w:rsidRPr="00B305CD" w:rsidRDefault="007D4CE1" w:rsidP="007D4CE1">
      <w:pPr>
        <w:widowControl w:val="0"/>
        <w:spacing w:before="3" w:after="0" w:line="276" w:lineRule="auto"/>
        <w:rPr>
          <w:rFonts w:eastAsia="Times New Roman" w:cstheme="minorHAnsi"/>
          <w:sz w:val="18"/>
          <w:szCs w:val="18"/>
          <w:lang w:eastAsia="bg-BG"/>
        </w:rPr>
      </w:pPr>
      <w:r w:rsidRPr="00B305CD">
        <w:rPr>
          <w:rFonts w:eastAsia="Times New Roman" w:cstheme="minorHAnsi"/>
          <w:sz w:val="18"/>
          <w:szCs w:val="18"/>
          <w:lang w:val="en-US" w:eastAsia="bg-BG"/>
        </w:rPr>
        <w:t xml:space="preserve">17. </w:t>
      </w:r>
      <w:r w:rsidRPr="00B305CD">
        <w:rPr>
          <w:rFonts w:eastAsia="Times New Roman" w:cstheme="minorHAnsi"/>
          <w:sz w:val="18"/>
          <w:szCs w:val="18"/>
          <w:lang w:eastAsia="bg-BG"/>
        </w:rPr>
        <w:t xml:space="preserve">A. P. Münevveroğlu, “Relationship between socioeconomic status, body mass index and dental caries of children,” </w:t>
      </w:r>
      <w:r w:rsidRPr="00B305CD">
        <w:rPr>
          <w:rFonts w:eastAsia="Times New Roman" w:cstheme="minorHAnsi"/>
          <w:i/>
          <w:iCs/>
          <w:sz w:val="18"/>
          <w:szCs w:val="18"/>
          <w:lang w:eastAsia="bg-BG"/>
        </w:rPr>
        <w:t>Advances in Dentistry &amp; Oral</w:t>
      </w:r>
      <w:r w:rsidRPr="00B305CD">
        <w:rPr>
          <w:rFonts w:eastAsia="Times New Roman" w:cstheme="minorHAnsi"/>
          <w:sz w:val="18"/>
          <w:szCs w:val="18"/>
          <w:lang w:eastAsia="bg-BG"/>
        </w:rPr>
        <w:t>, vol. 4, pp. 7–10, 2017.</w:t>
      </w:r>
    </w:p>
    <w:p w:rsidR="007D4CE1" w:rsidRPr="00B305CD" w:rsidRDefault="007D4CE1" w:rsidP="007D4CE1">
      <w:pPr>
        <w:widowControl w:val="0"/>
        <w:spacing w:before="3" w:after="0" w:line="276" w:lineRule="auto"/>
        <w:rPr>
          <w:rFonts w:eastAsia="Times New Roman" w:cstheme="minorHAnsi"/>
          <w:sz w:val="18"/>
          <w:szCs w:val="18"/>
          <w:lang w:eastAsia="bg-BG"/>
        </w:rPr>
      </w:pPr>
      <w:r w:rsidRPr="00B305CD">
        <w:rPr>
          <w:rFonts w:eastAsia="Times New Roman" w:cstheme="minorHAnsi"/>
          <w:sz w:val="18"/>
          <w:szCs w:val="18"/>
          <w:lang w:val="en-US" w:eastAsia="bg-BG"/>
        </w:rPr>
        <w:t xml:space="preserve">18. </w:t>
      </w:r>
      <w:r w:rsidRPr="00B305CD">
        <w:rPr>
          <w:rFonts w:eastAsia="Times New Roman" w:cstheme="minorHAnsi"/>
          <w:sz w:val="18"/>
          <w:szCs w:val="18"/>
          <w:lang w:eastAsia="bg-BG"/>
        </w:rPr>
        <w:t xml:space="preserve">K. Mitrakul, Y. Asvanund, M. Arunakul et al., “Assessing associations between caries prevalence and body mass index and nutritional data among children </w:t>
      </w:r>
      <w:r w:rsidRPr="00B305CD">
        <w:rPr>
          <w:rFonts w:eastAsia="Times New Roman" w:cstheme="minorHAnsi"/>
          <w:sz w:val="18"/>
          <w:szCs w:val="18"/>
          <w:lang w:eastAsia="bg-BG"/>
        </w:rPr>
        <w:lastRenderedPageBreak/>
        <w:t>aged 6-12 years,” Southeast Asian Journal of Tropical Medicine and Public Health, vol. 47, pp. 152–159, 2016.</w:t>
      </w:r>
    </w:p>
    <w:p w:rsidR="007D4CE1" w:rsidRPr="00B305CD" w:rsidRDefault="007D4CE1" w:rsidP="007D4CE1">
      <w:pPr>
        <w:widowControl w:val="0"/>
        <w:spacing w:before="3" w:after="0" w:line="276" w:lineRule="auto"/>
        <w:rPr>
          <w:rFonts w:eastAsia="Times New Roman" w:cstheme="minorHAnsi"/>
          <w:sz w:val="18"/>
          <w:szCs w:val="18"/>
          <w:lang w:eastAsia="bg-BG"/>
        </w:rPr>
      </w:pPr>
      <w:r w:rsidRPr="00B305CD">
        <w:rPr>
          <w:rFonts w:eastAsia="Times New Roman" w:cstheme="minorHAnsi"/>
          <w:sz w:val="18"/>
          <w:szCs w:val="18"/>
          <w:lang w:val="en-US" w:eastAsia="bg-BG"/>
        </w:rPr>
        <w:t xml:space="preserve">19. </w:t>
      </w:r>
      <w:r w:rsidRPr="00B305CD">
        <w:rPr>
          <w:rFonts w:eastAsia="Times New Roman" w:cstheme="minorHAnsi"/>
          <w:sz w:val="18"/>
          <w:szCs w:val="18"/>
          <w:lang w:eastAsia="bg-BG"/>
        </w:rPr>
        <w:t xml:space="preserve">M. Paisi, E. Kay, I. Kaimi et al., “Obesity and caries in four-to-six year Old English children: a cross-sectional study,” </w:t>
      </w:r>
      <w:r w:rsidRPr="00B305CD">
        <w:rPr>
          <w:rFonts w:eastAsia="Times New Roman" w:cstheme="minorHAnsi"/>
          <w:i/>
          <w:iCs/>
          <w:sz w:val="18"/>
          <w:szCs w:val="18"/>
          <w:lang w:eastAsia="bg-BG"/>
        </w:rPr>
        <w:t>BMC Public Health</w:t>
      </w:r>
      <w:r w:rsidRPr="00B305CD">
        <w:rPr>
          <w:rFonts w:eastAsia="Times New Roman" w:cstheme="minorHAnsi"/>
          <w:sz w:val="18"/>
          <w:szCs w:val="18"/>
          <w:lang w:eastAsia="bg-BG"/>
        </w:rPr>
        <w:t>, vol. 18, no. 1, p. 267, 2018.</w:t>
      </w:r>
    </w:p>
    <w:p w:rsidR="007D4CE1" w:rsidRPr="00B305CD" w:rsidRDefault="007D4CE1" w:rsidP="007D4CE1">
      <w:pPr>
        <w:widowControl w:val="0"/>
        <w:spacing w:before="3" w:after="0" w:line="276" w:lineRule="auto"/>
        <w:rPr>
          <w:rFonts w:eastAsia="Times New Roman" w:cstheme="minorHAnsi"/>
          <w:sz w:val="18"/>
          <w:szCs w:val="18"/>
          <w:lang w:eastAsia="bg-BG"/>
        </w:rPr>
      </w:pPr>
      <w:r w:rsidRPr="00B305CD">
        <w:rPr>
          <w:rFonts w:eastAsia="Times New Roman" w:cstheme="minorHAnsi"/>
          <w:sz w:val="18"/>
          <w:szCs w:val="18"/>
          <w:lang w:val="en-US" w:eastAsia="bg-BG"/>
        </w:rPr>
        <w:t xml:space="preserve">20. </w:t>
      </w:r>
      <w:r w:rsidRPr="00B305CD">
        <w:rPr>
          <w:rFonts w:eastAsia="Times New Roman" w:cstheme="minorHAnsi"/>
          <w:sz w:val="18"/>
          <w:szCs w:val="18"/>
          <w:lang w:eastAsia="bg-BG"/>
        </w:rPr>
        <w:t xml:space="preserve">S. M. Slotwińska and R. Slotwiński, “Host response, obesity, and oral health,” Central-European Journal of Immunology, vol. 40, no. 2, pp. 201–205, 2015. </w:t>
      </w:r>
    </w:p>
    <w:p w:rsidR="007D4CE1" w:rsidRPr="00B305CD" w:rsidRDefault="007D4CE1" w:rsidP="007D4CE1">
      <w:pPr>
        <w:widowControl w:val="0"/>
        <w:spacing w:before="3" w:after="0" w:line="276" w:lineRule="auto"/>
        <w:rPr>
          <w:rFonts w:eastAsia="Times New Roman" w:cstheme="minorHAnsi"/>
          <w:sz w:val="18"/>
          <w:szCs w:val="18"/>
          <w:lang w:eastAsia="bg-BG"/>
        </w:rPr>
      </w:pPr>
      <w:r w:rsidRPr="00B305CD">
        <w:rPr>
          <w:rFonts w:eastAsia="Times New Roman" w:cstheme="minorHAnsi"/>
          <w:sz w:val="18"/>
          <w:szCs w:val="18"/>
          <w:lang w:val="en-US" w:eastAsia="bg-BG"/>
        </w:rPr>
        <w:t xml:space="preserve">21. </w:t>
      </w:r>
      <w:r w:rsidRPr="00B305CD">
        <w:rPr>
          <w:rFonts w:eastAsia="Times New Roman" w:cstheme="minorHAnsi"/>
          <w:sz w:val="18"/>
          <w:szCs w:val="18"/>
          <w:lang w:eastAsia="bg-BG"/>
        </w:rPr>
        <w:t xml:space="preserve">S. R. Baker, L. Foster Page, W. M. Thomson et al., “Structural determinants and children’s oral health: a cross-national study,” </w:t>
      </w:r>
      <w:r w:rsidRPr="00B305CD">
        <w:rPr>
          <w:rFonts w:eastAsia="Times New Roman" w:cstheme="minorHAnsi"/>
          <w:i/>
          <w:iCs/>
          <w:sz w:val="18"/>
          <w:szCs w:val="18"/>
          <w:lang w:eastAsia="bg-BG"/>
        </w:rPr>
        <w:t>Journal of Dental Research</w:t>
      </w:r>
      <w:r w:rsidRPr="00B305CD">
        <w:rPr>
          <w:rFonts w:eastAsia="Times New Roman" w:cstheme="minorHAnsi"/>
          <w:sz w:val="18"/>
          <w:szCs w:val="18"/>
          <w:lang w:eastAsia="bg-BG"/>
        </w:rPr>
        <w:t>, vol. 97, no. 10, pp. 1129–1136, 2018.</w:t>
      </w:r>
    </w:p>
    <w:p w:rsidR="007D4CE1" w:rsidRPr="00B305CD" w:rsidRDefault="007D4CE1" w:rsidP="007D4CE1">
      <w:pPr>
        <w:widowControl w:val="0"/>
        <w:shd w:val="clear" w:color="auto" w:fill="FFFFFF" w:themeFill="background1"/>
        <w:spacing w:before="3" w:after="0" w:line="276" w:lineRule="auto"/>
        <w:rPr>
          <w:rFonts w:eastAsia="Tw Cen MT" w:cstheme="minorHAnsi"/>
          <w:sz w:val="18"/>
          <w:szCs w:val="18"/>
          <w:lang w:val="en-US"/>
        </w:rPr>
      </w:pPr>
      <w:r w:rsidRPr="00B305CD">
        <w:rPr>
          <w:rFonts w:eastAsia="Times New Roman" w:cstheme="minorHAnsi"/>
          <w:sz w:val="18"/>
          <w:szCs w:val="18"/>
          <w:lang w:val="en-US" w:eastAsia="bg-BG"/>
        </w:rPr>
        <w:t xml:space="preserve">22. </w:t>
      </w:r>
      <w:r w:rsidRPr="00B305CD">
        <w:rPr>
          <w:rFonts w:eastAsia="Tw Cen MT" w:cstheme="minorHAnsi"/>
          <w:sz w:val="18"/>
          <w:szCs w:val="18"/>
          <w:lang w:val="en-US"/>
        </w:rPr>
        <w:t>Fasoulas A, Pavlidou E, Petridis D, Mantzorou M, Seroglou K and Giaginis C</w:t>
      </w:r>
      <w:r w:rsidRPr="00B305CD">
        <w:rPr>
          <w:rFonts w:eastAsia="Tw Cen MT" w:cstheme="minorHAnsi"/>
          <w:sz w:val="18"/>
          <w:szCs w:val="18"/>
          <w:shd w:val="clear" w:color="auto" w:fill="FFFFFF" w:themeFill="background1"/>
          <w:lang w:val="en-US"/>
        </w:rPr>
        <w:t>. Eating Habits as a Common Risk Factor for Obesity and Oral Health Disorders in School Children. Austin</w:t>
      </w:r>
      <w:r w:rsidRPr="00B305CD">
        <w:rPr>
          <w:rFonts w:eastAsia="Tw Cen MT" w:cstheme="minorHAnsi"/>
          <w:sz w:val="18"/>
          <w:szCs w:val="18"/>
          <w:lang w:val="en-US"/>
        </w:rPr>
        <w:t xml:space="preserve"> J Nutri Food Sci. 2019; 7(7): 1129.</w:t>
      </w:r>
    </w:p>
    <w:p w:rsidR="007D4CE1" w:rsidRPr="00B305CD" w:rsidRDefault="007D4CE1" w:rsidP="007D4CE1">
      <w:pPr>
        <w:widowControl w:val="0"/>
        <w:shd w:val="clear" w:color="auto" w:fill="FFFFFF" w:themeFill="background1"/>
        <w:spacing w:before="3" w:after="0" w:line="276" w:lineRule="auto"/>
        <w:rPr>
          <w:rFonts w:eastAsia="Times New Roman" w:cstheme="minorHAnsi"/>
          <w:sz w:val="18"/>
          <w:szCs w:val="18"/>
          <w:lang w:eastAsia="bg-BG"/>
        </w:rPr>
      </w:pPr>
      <w:r w:rsidRPr="00B305CD">
        <w:rPr>
          <w:rFonts w:eastAsia="Tw Cen MT" w:cstheme="minorHAnsi"/>
          <w:sz w:val="18"/>
          <w:szCs w:val="18"/>
          <w:lang w:val="en-US"/>
        </w:rPr>
        <w:t xml:space="preserve">23. </w:t>
      </w:r>
      <w:hyperlink r:id="rId9" w:tgtFrame="_blank" w:history="1">
        <w:r w:rsidRPr="00B305CD">
          <w:rPr>
            <w:rFonts w:eastAsia="Times New Roman" w:cstheme="minorHAnsi"/>
            <w:sz w:val="18"/>
            <w:szCs w:val="18"/>
            <w:lang w:eastAsia="bg-BG"/>
          </w:rPr>
          <w:t>Costacurta M, DiRenzo L, Sicuro L, Gratteri S, De Lorenzo A, Docimo R. Dental caries and childhood obesity: analysis of food intakes, lifestyle. Eur J Paediatr Dent. 2014; 15343-1538.</w:t>
        </w:r>
      </w:hyperlink>
    </w:p>
    <w:p w:rsidR="007D4CE1" w:rsidRPr="00B305CD" w:rsidRDefault="007D4CE1" w:rsidP="007D4CE1">
      <w:pPr>
        <w:widowControl w:val="0"/>
        <w:spacing w:before="3" w:after="0" w:line="276" w:lineRule="auto"/>
        <w:rPr>
          <w:rFonts w:cstheme="minorHAnsi"/>
          <w:sz w:val="18"/>
          <w:szCs w:val="18"/>
          <w:lang w:val="en-US"/>
        </w:rPr>
      </w:pPr>
      <w:r w:rsidRPr="00B305CD">
        <w:rPr>
          <w:rFonts w:eastAsia="Times New Roman" w:cstheme="minorHAnsi"/>
          <w:sz w:val="18"/>
          <w:szCs w:val="18"/>
          <w:lang w:val="en-US" w:eastAsia="bg-BG"/>
        </w:rPr>
        <w:t xml:space="preserve">24. </w:t>
      </w:r>
      <w:r w:rsidRPr="00B305CD">
        <w:rPr>
          <w:rFonts w:cstheme="minorHAnsi"/>
          <w:sz w:val="18"/>
          <w:szCs w:val="18"/>
          <w:lang w:val="en-US"/>
        </w:rPr>
        <w:t>Campos MM, Kobayashi FY, Barbosa Tde S, Costa Sda S, Lucas Bde L, Castelo PM. Characteristics of salivary secretion in normal-weight, overweight and obese children: a preliminary study: salivary composition and excessive fat tissue. Odontology. 2014 Jul; 102(2):318-24. doi: 10.1007/s10266-013-0103-8. Epub 2013 Feb 10. PMID: 23397524.</w:t>
      </w:r>
    </w:p>
    <w:p w:rsidR="007D4CE1" w:rsidRPr="00B305CD" w:rsidRDefault="007D4CE1" w:rsidP="007D4CE1">
      <w:pPr>
        <w:widowControl w:val="0"/>
        <w:shd w:val="clear" w:color="auto" w:fill="FFFFFF" w:themeFill="background1"/>
        <w:spacing w:before="3" w:after="0" w:line="276" w:lineRule="auto"/>
        <w:rPr>
          <w:rStyle w:val="Hyperlink"/>
          <w:rFonts w:eastAsia="Times New Roman" w:cstheme="minorHAnsi"/>
          <w:sz w:val="18"/>
          <w:szCs w:val="18"/>
          <w:lang w:eastAsia="bg-BG"/>
        </w:rPr>
      </w:pPr>
      <w:r w:rsidRPr="00B305CD">
        <w:rPr>
          <w:rFonts w:cstheme="minorHAnsi"/>
          <w:sz w:val="18"/>
          <w:szCs w:val="18"/>
          <w:lang w:val="en-US"/>
        </w:rPr>
        <w:t xml:space="preserve">25. </w:t>
      </w:r>
      <w:r w:rsidRPr="00B305CD">
        <w:rPr>
          <w:rFonts w:eastAsia="Times New Roman" w:cstheme="minorHAnsi"/>
          <w:sz w:val="18"/>
          <w:szCs w:val="18"/>
          <w:lang w:eastAsia="bg-BG"/>
        </w:rPr>
        <w:t xml:space="preserve">Herrera, B. M., Keildson, S., &amp; Lindgren, C. M. (2011). Genetics and epigenetics of obesity. Maturitas, 69(1), 41–49. </w:t>
      </w:r>
      <w:hyperlink r:id="rId10" w:history="1">
        <w:r w:rsidRPr="00B305CD">
          <w:rPr>
            <w:rStyle w:val="Hyperlink"/>
            <w:rFonts w:eastAsia="Times New Roman" w:cstheme="minorHAnsi"/>
            <w:sz w:val="18"/>
            <w:szCs w:val="18"/>
            <w:lang w:eastAsia="bg-BG"/>
          </w:rPr>
          <w:t>https://doi.org/10.1016/j.maturitas.2011.02.018</w:t>
        </w:r>
      </w:hyperlink>
    </w:p>
    <w:p w:rsidR="007D4CE1" w:rsidRPr="00B305CD" w:rsidRDefault="007D4CE1" w:rsidP="007D4CE1">
      <w:pPr>
        <w:widowControl w:val="0"/>
        <w:shd w:val="clear" w:color="auto" w:fill="FFFFFF" w:themeFill="background1"/>
        <w:spacing w:before="3" w:after="0" w:line="276" w:lineRule="auto"/>
        <w:rPr>
          <w:rFonts w:eastAsia="Times New Roman" w:cstheme="minorHAnsi"/>
          <w:sz w:val="18"/>
          <w:szCs w:val="18"/>
          <w:lang w:eastAsia="bg-BG"/>
        </w:rPr>
      </w:pPr>
      <w:r w:rsidRPr="00B305CD">
        <w:rPr>
          <w:rStyle w:val="Hyperlink"/>
          <w:rFonts w:eastAsia="Times New Roman" w:cstheme="minorHAnsi"/>
          <w:color w:val="auto"/>
          <w:sz w:val="18"/>
          <w:szCs w:val="18"/>
          <w:u w:val="none"/>
          <w:lang w:val="en-US" w:eastAsia="bg-BG"/>
        </w:rPr>
        <w:t xml:space="preserve">26. </w:t>
      </w:r>
      <w:r w:rsidRPr="00B305CD">
        <w:rPr>
          <w:rFonts w:eastAsia="Times New Roman" w:cstheme="minorHAnsi"/>
          <w:sz w:val="18"/>
          <w:szCs w:val="18"/>
          <w:lang w:eastAsia="bg-BG"/>
        </w:rPr>
        <w:t>Bird A. Perceptions of epigenetics. Nature. 2007;</w:t>
      </w:r>
      <w:r w:rsidR="00CF5A2A">
        <w:rPr>
          <w:rFonts w:eastAsia="Times New Roman" w:cstheme="minorHAnsi"/>
          <w:sz w:val="18"/>
          <w:szCs w:val="18"/>
          <w:lang w:val="en-US" w:eastAsia="bg-BG"/>
        </w:rPr>
        <w:t xml:space="preserve"> </w:t>
      </w:r>
      <w:r w:rsidRPr="00B305CD">
        <w:rPr>
          <w:rFonts w:eastAsia="Times New Roman" w:cstheme="minorHAnsi"/>
          <w:sz w:val="18"/>
          <w:szCs w:val="18"/>
          <w:lang w:eastAsia="bg-BG"/>
        </w:rPr>
        <w:t xml:space="preserve">447(May (7143)):396–398. </w:t>
      </w:r>
    </w:p>
    <w:p w:rsidR="007D4CE1" w:rsidRPr="00B305CD" w:rsidRDefault="007D4CE1" w:rsidP="007D4CE1">
      <w:pPr>
        <w:widowControl w:val="0"/>
        <w:shd w:val="clear" w:color="auto" w:fill="FFFFFF" w:themeFill="background1"/>
        <w:spacing w:before="3" w:after="0" w:line="276" w:lineRule="auto"/>
        <w:rPr>
          <w:rFonts w:eastAsia="Times New Roman" w:cstheme="minorHAnsi"/>
          <w:sz w:val="18"/>
          <w:szCs w:val="18"/>
          <w:lang w:eastAsia="bg-BG"/>
        </w:rPr>
      </w:pPr>
      <w:r w:rsidRPr="00B305CD">
        <w:rPr>
          <w:rFonts w:eastAsia="Times New Roman" w:cstheme="minorHAnsi"/>
          <w:sz w:val="18"/>
          <w:szCs w:val="18"/>
          <w:lang w:val="en-US" w:eastAsia="bg-BG"/>
        </w:rPr>
        <w:t xml:space="preserve">27. </w:t>
      </w:r>
      <w:r w:rsidRPr="00B305CD">
        <w:rPr>
          <w:rFonts w:eastAsia="Times New Roman" w:cstheme="minorHAnsi"/>
          <w:sz w:val="18"/>
          <w:szCs w:val="18"/>
          <w:lang w:eastAsia="bg-BG"/>
        </w:rPr>
        <w:t>Waterland R.A., Jirtle R.L. Early nutrition, epigenetic changes at transposons and imprinted genes, and enhanced susceptibility to adult chronic diseases. Nutrition. 2004;</w:t>
      </w:r>
      <w:r w:rsidRPr="00B305CD">
        <w:rPr>
          <w:rFonts w:eastAsia="Times New Roman" w:cstheme="minorHAnsi"/>
          <w:sz w:val="18"/>
          <w:szCs w:val="18"/>
          <w:lang w:val="en-US" w:eastAsia="bg-BG"/>
        </w:rPr>
        <w:t xml:space="preserve"> </w:t>
      </w:r>
      <w:r w:rsidRPr="00B305CD">
        <w:rPr>
          <w:rFonts w:eastAsia="Times New Roman" w:cstheme="minorHAnsi"/>
          <w:sz w:val="18"/>
          <w:szCs w:val="18"/>
          <w:lang w:eastAsia="bg-BG"/>
        </w:rPr>
        <w:t xml:space="preserve">20(January (1)):63–68. </w:t>
      </w:r>
    </w:p>
    <w:p w:rsidR="007D4CE1" w:rsidRPr="00B305CD" w:rsidRDefault="007D4CE1" w:rsidP="007D4CE1">
      <w:pPr>
        <w:widowControl w:val="0"/>
        <w:shd w:val="clear" w:color="auto" w:fill="FFFFFF" w:themeFill="background1"/>
        <w:spacing w:before="3" w:after="0" w:line="276" w:lineRule="auto"/>
        <w:rPr>
          <w:rFonts w:eastAsia="Times New Roman" w:cstheme="minorHAnsi"/>
          <w:color w:val="0563C1" w:themeColor="hyperlink"/>
          <w:sz w:val="18"/>
          <w:szCs w:val="18"/>
          <w:u w:val="single"/>
          <w:lang w:val="en-US" w:eastAsia="bg-BG"/>
        </w:rPr>
      </w:pPr>
      <w:r w:rsidRPr="00B305CD">
        <w:rPr>
          <w:rFonts w:eastAsia="Times New Roman" w:cstheme="minorHAnsi"/>
          <w:sz w:val="18"/>
          <w:szCs w:val="18"/>
          <w:lang w:val="en-US" w:eastAsia="bg-BG"/>
        </w:rPr>
        <w:t xml:space="preserve">28. </w:t>
      </w:r>
      <w:r w:rsidRPr="00B305CD">
        <w:rPr>
          <w:rFonts w:eastAsia="Times New Roman" w:cstheme="minorHAnsi"/>
          <w:sz w:val="18"/>
          <w:szCs w:val="18"/>
          <w:lang w:eastAsia="bg-BG"/>
        </w:rPr>
        <w:t xml:space="preserve">Waterland R.A., Michels K.B. Epigenetic epidemiology of the developmental origins hypothesis. Annu Rev Nutr. 2007;27:363–388. </w:t>
      </w:r>
    </w:p>
    <w:p w:rsidR="007D4CE1" w:rsidRPr="00B305CD" w:rsidRDefault="007D4CE1" w:rsidP="007D4CE1">
      <w:pPr>
        <w:spacing w:after="0" w:line="276" w:lineRule="auto"/>
        <w:rPr>
          <w:rFonts w:eastAsia="Times New Roman" w:cstheme="minorHAnsi"/>
          <w:sz w:val="18"/>
          <w:szCs w:val="18"/>
          <w:lang w:eastAsia="bg-BG"/>
        </w:rPr>
      </w:pPr>
      <w:r w:rsidRPr="00B305CD">
        <w:rPr>
          <w:rFonts w:eastAsia="Times New Roman" w:cstheme="minorHAnsi"/>
          <w:sz w:val="18"/>
          <w:szCs w:val="18"/>
          <w:lang w:eastAsia="bg-BG"/>
        </w:rPr>
        <w:t xml:space="preserve">29. Poirier L.A. The effects of diet, genetics and chemicals on toxicity and aberrant DNA methylation: an introduction. J Nutr. 2002;132(August (8 Suppl.)):S2336–S2339. </w:t>
      </w:r>
    </w:p>
    <w:p w:rsidR="007D4CE1" w:rsidRPr="00B305CD" w:rsidRDefault="007D4CE1" w:rsidP="007D4CE1">
      <w:pPr>
        <w:spacing w:after="0" w:line="276" w:lineRule="auto"/>
        <w:rPr>
          <w:rFonts w:eastAsia="Times New Roman" w:cstheme="minorHAnsi"/>
          <w:sz w:val="18"/>
          <w:szCs w:val="18"/>
          <w:lang w:eastAsia="bg-BG"/>
        </w:rPr>
      </w:pPr>
    </w:p>
    <w:p w:rsidR="007D4CE1" w:rsidRPr="00B305CD" w:rsidRDefault="007D4CE1" w:rsidP="007D4CE1">
      <w:pPr>
        <w:spacing w:after="0" w:line="276" w:lineRule="auto"/>
        <w:rPr>
          <w:rFonts w:eastAsia="Times New Roman" w:cstheme="minorHAnsi"/>
          <w:sz w:val="18"/>
          <w:szCs w:val="18"/>
          <w:lang w:eastAsia="bg-BG"/>
        </w:rPr>
      </w:pPr>
    </w:p>
    <w:p w:rsidR="007D4CE1" w:rsidRPr="00B305CD" w:rsidRDefault="007D4CE1" w:rsidP="007D4CE1">
      <w:pPr>
        <w:spacing w:after="0" w:line="276" w:lineRule="auto"/>
        <w:rPr>
          <w:rFonts w:eastAsia="Times New Roman" w:cstheme="minorHAnsi"/>
          <w:sz w:val="18"/>
          <w:szCs w:val="18"/>
          <w:lang w:eastAsia="bg-BG"/>
        </w:rPr>
      </w:pPr>
    </w:p>
    <w:p w:rsidR="007D4CE1" w:rsidRPr="00B305CD" w:rsidRDefault="007D4CE1" w:rsidP="007D4CE1">
      <w:pPr>
        <w:spacing w:after="0" w:line="276" w:lineRule="auto"/>
        <w:rPr>
          <w:rFonts w:eastAsia="Times New Roman" w:cstheme="minorHAnsi"/>
          <w:sz w:val="18"/>
          <w:szCs w:val="18"/>
          <w:lang w:eastAsia="bg-BG"/>
        </w:rPr>
      </w:pPr>
    </w:p>
    <w:p w:rsidR="007D4CE1" w:rsidRPr="00B305CD" w:rsidRDefault="007D4CE1" w:rsidP="007D4CE1">
      <w:pPr>
        <w:spacing w:after="0" w:line="276" w:lineRule="auto"/>
        <w:rPr>
          <w:rFonts w:eastAsia="Times New Roman" w:cstheme="minorHAnsi"/>
          <w:sz w:val="18"/>
          <w:szCs w:val="18"/>
          <w:lang w:eastAsia="bg-BG"/>
        </w:rPr>
      </w:pPr>
    </w:p>
    <w:p w:rsidR="007D4CE1" w:rsidRDefault="007D4CE1" w:rsidP="007D4CE1">
      <w:pPr>
        <w:spacing w:after="0" w:line="276" w:lineRule="auto"/>
        <w:rPr>
          <w:rFonts w:eastAsia="Times New Roman" w:cstheme="minorHAnsi"/>
          <w:sz w:val="18"/>
          <w:szCs w:val="18"/>
          <w:lang w:eastAsia="bg-BG"/>
        </w:rPr>
        <w:sectPr w:rsidR="007D4CE1" w:rsidSect="00CF5A2A">
          <w:type w:val="continuous"/>
          <w:pgSz w:w="11906" w:h="16838"/>
          <w:pgMar w:top="1417" w:right="1417" w:bottom="1417" w:left="1417" w:header="708" w:footer="708" w:gutter="0"/>
          <w:cols w:num="2" w:space="708"/>
          <w:docGrid w:linePitch="360"/>
        </w:sectPr>
      </w:pPr>
    </w:p>
    <w:p w:rsidR="007D4CE1" w:rsidRPr="00B305CD" w:rsidRDefault="007D4CE1" w:rsidP="007D4CE1">
      <w:pPr>
        <w:spacing w:after="0" w:line="276" w:lineRule="auto"/>
        <w:rPr>
          <w:rFonts w:eastAsia="Times New Roman" w:cstheme="minorHAnsi"/>
          <w:sz w:val="18"/>
          <w:szCs w:val="18"/>
          <w:lang w:eastAsia="bg-BG"/>
        </w:rPr>
      </w:pPr>
    </w:p>
    <w:p w:rsidR="00CF5A2A" w:rsidRDefault="00CF5A2A" w:rsidP="007D4CE1">
      <w:pPr>
        <w:spacing w:after="0" w:line="276" w:lineRule="auto"/>
        <w:rPr>
          <w:rFonts w:eastAsia="Times New Roman" w:cstheme="minorHAnsi"/>
          <w:sz w:val="18"/>
          <w:szCs w:val="18"/>
          <w:lang w:eastAsia="bg-BG"/>
        </w:rPr>
        <w:sectPr w:rsidR="00CF5A2A" w:rsidSect="00CF5A2A">
          <w:type w:val="continuous"/>
          <w:pgSz w:w="11906" w:h="16838"/>
          <w:pgMar w:top="1417" w:right="1417" w:bottom="1417" w:left="1417" w:header="708" w:footer="708" w:gutter="0"/>
          <w:cols w:num="2" w:space="708"/>
          <w:docGrid w:linePitch="360"/>
        </w:sectPr>
      </w:pPr>
    </w:p>
    <w:p w:rsidR="007D4CE1" w:rsidRPr="00B305CD" w:rsidRDefault="007D4CE1" w:rsidP="007D4CE1">
      <w:pPr>
        <w:spacing w:after="0" w:line="276" w:lineRule="auto"/>
        <w:rPr>
          <w:rFonts w:eastAsia="Times New Roman" w:cstheme="minorHAnsi"/>
          <w:sz w:val="18"/>
          <w:szCs w:val="18"/>
          <w:lang w:eastAsia="bg-BG"/>
        </w:rPr>
      </w:pPr>
    </w:p>
    <w:p w:rsidR="007D4CE1" w:rsidRPr="00B305CD" w:rsidRDefault="007D4CE1" w:rsidP="007D4CE1">
      <w:pPr>
        <w:spacing w:after="0" w:line="276" w:lineRule="auto"/>
        <w:rPr>
          <w:rFonts w:eastAsia="Times New Roman" w:cstheme="minorHAnsi"/>
          <w:sz w:val="18"/>
          <w:szCs w:val="18"/>
          <w:lang w:eastAsia="bg-BG"/>
        </w:rPr>
      </w:pPr>
    </w:p>
    <w:p w:rsidR="007D4CE1" w:rsidRDefault="007D4CE1" w:rsidP="007D4CE1">
      <w:pPr>
        <w:spacing w:after="0" w:line="276" w:lineRule="auto"/>
        <w:rPr>
          <w:rFonts w:ascii="Times New Roman" w:eastAsia="Times New Roman" w:hAnsi="Times New Roman" w:cs="Times New Roman"/>
          <w:sz w:val="24"/>
          <w:szCs w:val="24"/>
          <w:lang w:eastAsia="bg-BG"/>
        </w:rPr>
      </w:pPr>
    </w:p>
    <w:p w:rsidR="00180665" w:rsidRDefault="00180665" w:rsidP="007D4CE1">
      <w:pPr>
        <w:widowControl w:val="0"/>
        <w:spacing w:before="74" w:after="0" w:line="240" w:lineRule="auto"/>
        <w:outlineLvl w:val="2"/>
        <w:rPr>
          <w:rFonts w:ascii="Arial" w:eastAsia="Arial" w:hAnsi="Arial" w:cs="Arial"/>
          <w:b/>
          <w:bCs/>
          <w:sz w:val="20"/>
          <w:szCs w:val="20"/>
          <w:lang w:val="en-US"/>
        </w:rPr>
      </w:pPr>
    </w:p>
    <w:p w:rsidR="00CF5A2A" w:rsidRPr="00CF5A2A" w:rsidRDefault="00CF5A2A" w:rsidP="00CF5A2A">
      <w:pPr>
        <w:widowControl w:val="0"/>
        <w:spacing w:before="74" w:after="0" w:line="240" w:lineRule="auto"/>
        <w:ind w:left="100"/>
        <w:outlineLvl w:val="2"/>
        <w:rPr>
          <w:rFonts w:ascii="Arial" w:eastAsia="Arial" w:hAnsi="Arial" w:cs="Arial"/>
          <w:b/>
          <w:bCs/>
          <w:sz w:val="20"/>
          <w:szCs w:val="20"/>
          <w:lang w:val="en-US"/>
        </w:rPr>
      </w:pPr>
      <w:r w:rsidRPr="00CF5A2A">
        <w:rPr>
          <w:rFonts w:ascii="Arial" w:eastAsia="Arial" w:hAnsi="Arial" w:cs="Arial"/>
          <w:b/>
          <w:bCs/>
          <w:color w:val="BF5A14"/>
          <w:sz w:val="20"/>
          <w:szCs w:val="20"/>
          <w:lang w:val="en-US"/>
        </w:rPr>
        <w:lastRenderedPageBreak/>
        <w:t>Image</w:t>
      </w:r>
    </w:p>
    <w:p w:rsidR="00CF5A2A" w:rsidRPr="007D4CE1" w:rsidRDefault="00CF5A2A" w:rsidP="007D4CE1">
      <w:pPr>
        <w:widowControl w:val="0"/>
        <w:spacing w:before="74" w:after="0" w:line="240" w:lineRule="auto"/>
        <w:outlineLvl w:val="2"/>
        <w:rPr>
          <w:rFonts w:ascii="Arial" w:eastAsia="Arial" w:hAnsi="Arial" w:cs="Arial"/>
          <w:b/>
          <w:bCs/>
          <w:sz w:val="20"/>
          <w:szCs w:val="20"/>
          <w:lang w:val="en-US"/>
        </w:rPr>
      </w:pPr>
    </w:p>
    <w:p w:rsidR="00180665" w:rsidRDefault="00E16290" w:rsidP="00CD66D9">
      <w:pPr>
        <w:spacing w:after="0" w:line="276" w:lineRule="auto"/>
        <w:rPr>
          <w:rFonts w:ascii="Times New Roman" w:eastAsia="Times New Roman" w:hAnsi="Times New Roman" w:cs="Times New Roman"/>
          <w:b/>
          <w:sz w:val="24"/>
          <w:szCs w:val="24"/>
          <w:lang w:val="en-US" w:eastAsia="bg-BG"/>
        </w:rPr>
      </w:pPr>
      <w:r>
        <w:rPr>
          <w:rFonts w:ascii="Times New Roman" w:eastAsia="Times New Roman" w:hAnsi="Times New Roman" w:cs="Times New Roman"/>
          <w:b/>
          <w:noProof/>
          <w:sz w:val="24"/>
          <w:szCs w:val="24"/>
          <w:lang w:eastAsia="bg-BG"/>
        </w:rPr>
        <mc:AlternateContent>
          <mc:Choice Requires="wps">
            <w:drawing>
              <wp:anchor distT="0" distB="0" distL="114300" distR="114300" simplePos="0" relativeHeight="251662336" behindDoc="0" locked="0" layoutInCell="1" allowOverlap="1" wp14:anchorId="763018AE" wp14:editId="2E2FCEF0">
                <wp:simplePos x="0" y="0"/>
                <wp:positionH relativeFrom="column">
                  <wp:posOffset>3529330</wp:posOffset>
                </wp:positionH>
                <wp:positionV relativeFrom="paragraph">
                  <wp:posOffset>2433955</wp:posOffset>
                </wp:positionV>
                <wp:extent cx="295275" cy="647700"/>
                <wp:effectExtent l="0" t="100012" r="0" b="100013"/>
                <wp:wrapNone/>
                <wp:docPr id="6" name="Up-Down Arrow 6"/>
                <wp:cNvGraphicFramePr/>
                <a:graphic xmlns:a="http://schemas.openxmlformats.org/drawingml/2006/main">
                  <a:graphicData uri="http://schemas.microsoft.com/office/word/2010/wordprocessingShape">
                    <wps:wsp>
                      <wps:cNvSpPr/>
                      <wps:spPr>
                        <a:xfrm rot="7595350">
                          <a:off x="0" y="0"/>
                          <a:ext cx="295275" cy="647700"/>
                        </a:xfrm>
                        <a:prstGeom prst="upDownArrow">
                          <a:avLst/>
                        </a:prstGeom>
                        <a:solidFill>
                          <a:schemeClr val="accent4">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22417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6" o:spid="_x0000_s1026" type="#_x0000_t70" style="position:absolute;margin-left:277.9pt;margin-top:191.65pt;width:23.25pt;height:51pt;rotation:8296148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" adj=",4924" fillcolor="#fff2cc [663]" strokecolor="black [3213]" strokeweight="1pt"/>
            </w:pict>
          </mc:Fallback>
        </mc:AlternateContent>
      </w:r>
      <w:r>
        <w:rPr>
          <w:rFonts w:ascii="Times New Roman" w:eastAsia="Times New Roman" w:hAnsi="Times New Roman" w:cs="Times New Roman"/>
          <w:b/>
          <w:noProof/>
          <w:sz w:val="24"/>
          <w:szCs w:val="24"/>
          <w:lang w:eastAsia="bg-BG"/>
        </w:rPr>
        <mc:AlternateContent>
          <mc:Choice Requires="wps">
            <w:drawing>
              <wp:anchor distT="0" distB="0" distL="114300" distR="114300" simplePos="0" relativeHeight="251659264" behindDoc="0" locked="0" layoutInCell="1" allowOverlap="1" wp14:anchorId="6139D1BC" wp14:editId="0230099E">
                <wp:simplePos x="0" y="0"/>
                <wp:positionH relativeFrom="margin">
                  <wp:align>right</wp:align>
                </wp:positionH>
                <wp:positionV relativeFrom="paragraph">
                  <wp:posOffset>2195195</wp:posOffset>
                </wp:positionV>
                <wp:extent cx="1905000" cy="1323975"/>
                <wp:effectExtent l="0" t="0" r="19050" b="28575"/>
                <wp:wrapNone/>
                <wp:docPr id="2" name="Oval 2"/>
                <wp:cNvGraphicFramePr/>
                <a:graphic xmlns:a="http://schemas.openxmlformats.org/drawingml/2006/main">
                  <a:graphicData uri="http://schemas.microsoft.com/office/word/2010/wordprocessingShape">
                    <wps:wsp>
                      <wps:cNvSpPr/>
                      <wps:spPr>
                        <a:xfrm>
                          <a:off x="0" y="0"/>
                          <a:ext cx="1905000" cy="1323975"/>
                        </a:xfrm>
                        <a:prstGeom prst="ellipse">
                          <a:avLst/>
                        </a:prstGeom>
                        <a:solidFill>
                          <a:srgbClr val="009999"/>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44B52" w:rsidRPr="00B22B7D" w:rsidRDefault="00CA2222" w:rsidP="00644B52">
                            <w:pPr>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o</w:t>
                            </w:r>
                            <w:r w:rsidR="00644B52" w:rsidRPr="00B22B7D">
                              <w:rPr>
                                <w:rFonts w:ascii="Times New Roman" w:hAnsi="Times New Roman" w:cs="Times New Roman"/>
                                <w:b/>
                                <w:color w:val="000000" w:themeColor="text1"/>
                                <w:sz w:val="24"/>
                                <w:szCs w:val="24"/>
                                <w:lang w:val="en-US"/>
                              </w:rPr>
                              <w:t>besity screening, prophylaxis and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39D1BC" id="Oval 2" o:spid="_x0000_s1026" style="position:absolute;margin-left:98.8pt;margin-top:172.85pt;width:150pt;height:10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" fillcolor="#099" strokecolor="black [3213]" strokeweight="1pt">
                <v:stroke joinstyle="miter"/>
                <v:textbox>
                  <w:txbxContent>
                    <w:p w:rsidR="00644B52" w:rsidRPr="00B22B7D" w:rsidRDefault="00CA2222" w:rsidP="00644B52">
                      <w:pPr>
                        <w:jc w:val="center"/>
                        <w:rPr>
                          <w:rFonts w:ascii="Times New Roman" w:hAnsi="Times New Roman" w:cs="Times New Roman"/>
                          <w:b/>
                          <w:color w:val="000000" w:themeColor="text1"/>
                          <w:sz w:val="24"/>
                          <w:szCs w:val="24"/>
                          <w:lang w:val="en-US"/>
                        </w:rPr>
                      </w:pPr>
                      <w:proofErr w:type="gramStart"/>
                      <w:r>
                        <w:rPr>
                          <w:rFonts w:ascii="Times New Roman" w:hAnsi="Times New Roman" w:cs="Times New Roman"/>
                          <w:b/>
                          <w:color w:val="000000" w:themeColor="text1"/>
                          <w:sz w:val="24"/>
                          <w:szCs w:val="24"/>
                          <w:lang w:val="en-US"/>
                        </w:rPr>
                        <w:t>o</w:t>
                      </w:r>
                      <w:r w:rsidR="00644B52" w:rsidRPr="00B22B7D">
                        <w:rPr>
                          <w:rFonts w:ascii="Times New Roman" w:hAnsi="Times New Roman" w:cs="Times New Roman"/>
                          <w:b/>
                          <w:color w:val="000000" w:themeColor="text1"/>
                          <w:sz w:val="24"/>
                          <w:szCs w:val="24"/>
                          <w:lang w:val="en-US"/>
                        </w:rPr>
                        <w:t>besity</w:t>
                      </w:r>
                      <w:proofErr w:type="gramEnd"/>
                      <w:r w:rsidR="00644B52" w:rsidRPr="00B22B7D">
                        <w:rPr>
                          <w:rFonts w:ascii="Times New Roman" w:hAnsi="Times New Roman" w:cs="Times New Roman"/>
                          <w:b/>
                          <w:color w:val="000000" w:themeColor="text1"/>
                          <w:sz w:val="24"/>
                          <w:szCs w:val="24"/>
                          <w:lang w:val="en-US"/>
                        </w:rPr>
                        <w:t xml:space="preserve"> screening, prophylaxis and education</w:t>
                      </w:r>
                    </w:p>
                  </w:txbxContent>
                </v:textbox>
                <w10:wrap anchorx="margin"/>
              </v:oval>
            </w:pict>
          </mc:Fallback>
        </mc:AlternateContent>
      </w:r>
      <w:r>
        <w:rPr>
          <w:rFonts w:ascii="Times New Roman" w:eastAsia="Times New Roman" w:hAnsi="Times New Roman" w:cs="Times New Roman"/>
          <w:b/>
          <w:noProof/>
          <w:sz w:val="24"/>
          <w:szCs w:val="24"/>
          <w:lang w:eastAsia="bg-BG"/>
        </w:rPr>
        <mc:AlternateContent>
          <mc:Choice Requires="wps">
            <w:drawing>
              <wp:anchor distT="0" distB="0" distL="114300" distR="114300" simplePos="0" relativeHeight="251661312" behindDoc="0" locked="0" layoutInCell="1" allowOverlap="1" wp14:anchorId="7AF6BC24" wp14:editId="669CB77F">
                <wp:simplePos x="0" y="0"/>
                <wp:positionH relativeFrom="margin">
                  <wp:posOffset>2099945</wp:posOffset>
                </wp:positionH>
                <wp:positionV relativeFrom="paragraph">
                  <wp:posOffset>678180</wp:posOffset>
                </wp:positionV>
                <wp:extent cx="342058" cy="645833"/>
                <wp:effectExtent l="76200" t="0" r="77470" b="0"/>
                <wp:wrapNone/>
                <wp:docPr id="5" name="Up-Down Arrow 5"/>
                <wp:cNvGraphicFramePr/>
                <a:graphic xmlns:a="http://schemas.openxmlformats.org/drawingml/2006/main">
                  <a:graphicData uri="http://schemas.microsoft.com/office/word/2010/wordprocessingShape">
                    <wps:wsp>
                      <wps:cNvSpPr/>
                      <wps:spPr>
                        <a:xfrm rot="19235309">
                          <a:off x="0" y="0"/>
                          <a:ext cx="342058" cy="645833"/>
                        </a:xfrm>
                        <a:prstGeom prst="upDownArrow">
                          <a:avLst/>
                        </a:prstGeom>
                        <a:solidFill>
                          <a:schemeClr val="accent4">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9E5B6" id="Up-Down Arrow 5" o:spid="_x0000_s1026" type="#_x0000_t70" style="position:absolute;margin-left:165.35pt;margin-top:53.4pt;width:26.95pt;height:50.85pt;rotation:-2582873fd;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" adj=",5720" fillcolor="#fff2cc [663]" strokecolor="black [3213]" strokeweight="1pt">
                <w10:wrap anchorx="margin"/>
              </v:shape>
            </w:pict>
          </mc:Fallback>
        </mc:AlternateContent>
      </w:r>
      <w:r>
        <w:rPr>
          <w:rFonts w:ascii="Times New Roman" w:eastAsia="Times New Roman" w:hAnsi="Times New Roman" w:cs="Times New Roman"/>
          <w:b/>
          <w:noProof/>
          <w:sz w:val="24"/>
          <w:szCs w:val="24"/>
          <w:lang w:eastAsia="bg-BG"/>
        </w:rPr>
        <mc:AlternateContent>
          <mc:Choice Requires="wps">
            <w:drawing>
              <wp:anchor distT="0" distB="0" distL="114300" distR="114300" simplePos="0" relativeHeight="251660288" behindDoc="0" locked="0" layoutInCell="1" allowOverlap="1" wp14:anchorId="25387E3F" wp14:editId="034FFB13">
                <wp:simplePos x="0" y="0"/>
                <wp:positionH relativeFrom="column">
                  <wp:posOffset>357505</wp:posOffset>
                </wp:positionH>
                <wp:positionV relativeFrom="paragraph">
                  <wp:posOffset>271780</wp:posOffset>
                </wp:positionV>
                <wp:extent cx="1743075" cy="1181100"/>
                <wp:effectExtent l="0" t="0" r="28575" b="19050"/>
                <wp:wrapNone/>
                <wp:docPr id="3" name="Oval 3"/>
                <wp:cNvGraphicFramePr/>
                <a:graphic xmlns:a="http://schemas.openxmlformats.org/drawingml/2006/main">
                  <a:graphicData uri="http://schemas.microsoft.com/office/word/2010/wordprocessingShape">
                    <wps:wsp>
                      <wps:cNvSpPr/>
                      <wps:spPr>
                        <a:xfrm>
                          <a:off x="0" y="0"/>
                          <a:ext cx="1743075" cy="1181100"/>
                        </a:xfrm>
                        <a:prstGeom prst="ellipse">
                          <a:avLst/>
                        </a:prstGeom>
                        <a:solidFill>
                          <a:srgbClr val="FF5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76FC9" w:rsidRPr="00FC3BC5" w:rsidRDefault="004E377E" w:rsidP="00676FC9">
                            <w:pPr>
                              <w:jc w:val="center"/>
                              <w:rPr>
                                <w:rFonts w:ascii="Times New Roman" w:hAnsi="Times New Roman" w:cs="Times New Roman"/>
                                <w:b/>
                                <w:color w:val="0D0D0D" w:themeColor="text1" w:themeTint="F2"/>
                                <w:sz w:val="24"/>
                                <w:szCs w:val="24"/>
                                <w:lang w:val="en-US"/>
                              </w:rPr>
                            </w:pPr>
                            <w:r>
                              <w:rPr>
                                <w:rFonts w:ascii="Times New Roman" w:hAnsi="Times New Roman" w:cs="Times New Roman"/>
                                <w:b/>
                                <w:color w:val="0D0D0D" w:themeColor="text1" w:themeTint="F2"/>
                                <w:sz w:val="24"/>
                                <w:szCs w:val="24"/>
                                <w:lang w:val="en-US"/>
                              </w:rPr>
                              <w:t>d</w:t>
                            </w:r>
                            <w:r w:rsidR="000A365E" w:rsidRPr="00FC3BC5">
                              <w:rPr>
                                <w:rFonts w:ascii="Times New Roman" w:hAnsi="Times New Roman" w:cs="Times New Roman"/>
                                <w:b/>
                                <w:color w:val="0D0D0D" w:themeColor="text1" w:themeTint="F2"/>
                                <w:sz w:val="24"/>
                                <w:szCs w:val="24"/>
                                <w:lang w:val="en-US"/>
                              </w:rPr>
                              <w:t>ietary</w:t>
                            </w:r>
                            <w:r w:rsidR="00CA2222">
                              <w:rPr>
                                <w:rFonts w:ascii="Times New Roman" w:hAnsi="Times New Roman" w:cs="Times New Roman"/>
                                <w:b/>
                                <w:color w:val="0D0D0D" w:themeColor="text1" w:themeTint="F2"/>
                                <w:sz w:val="24"/>
                                <w:szCs w:val="24"/>
                                <w:lang w:val="en-US"/>
                              </w:rPr>
                              <w:t xml:space="preserve"> </w:t>
                            </w:r>
                            <w:r w:rsidR="00CE0DBF" w:rsidRPr="00FC3BC5">
                              <w:rPr>
                                <w:rFonts w:ascii="Times New Roman" w:hAnsi="Times New Roman" w:cs="Times New Roman"/>
                                <w:b/>
                                <w:color w:val="0D0D0D" w:themeColor="text1" w:themeTint="F2"/>
                                <w:sz w:val="24"/>
                                <w:szCs w:val="24"/>
                                <w:lang w:val="en-US"/>
                              </w:rPr>
                              <w:t>regime</w:t>
                            </w:r>
                            <w:r w:rsidR="00676FC9" w:rsidRPr="00FC3BC5">
                              <w:rPr>
                                <w:rFonts w:ascii="Times New Roman" w:hAnsi="Times New Roman" w:cs="Times New Roman"/>
                                <w:b/>
                                <w:color w:val="0D0D0D" w:themeColor="text1" w:themeTint="F2"/>
                                <w:sz w:val="24"/>
                                <w:szCs w:val="24"/>
                                <w:lang w:val="en-US"/>
                              </w:rPr>
                              <w:t>-metabolic syndrome-tooth</w:t>
                            </w:r>
                            <w:r w:rsidR="00F91DB0" w:rsidRPr="00FC3BC5">
                              <w:rPr>
                                <w:rFonts w:ascii="Times New Roman" w:hAnsi="Times New Roman" w:cs="Times New Roman"/>
                                <w:b/>
                                <w:color w:val="0D0D0D" w:themeColor="text1" w:themeTint="F2"/>
                                <w:sz w:val="24"/>
                                <w:szCs w:val="24"/>
                                <w:lang w:val="en-US"/>
                              </w:rPr>
                              <w:t xml:space="preserve"> loss</w:t>
                            </w:r>
                            <w:r w:rsidR="00676FC9" w:rsidRPr="00FC3BC5">
                              <w:rPr>
                                <w:rFonts w:ascii="Times New Roman" w:hAnsi="Times New Roman" w:cs="Times New Roman"/>
                                <w:b/>
                                <w:color w:val="0D0D0D" w:themeColor="text1" w:themeTint="F2"/>
                                <w:sz w:val="24"/>
                                <w:szCs w:val="24"/>
                                <w:lang w:val="en-US"/>
                              </w:rPr>
                              <w:t xml:space="preserve"> </w:t>
                            </w:r>
                            <w:r w:rsidR="00F91DB0" w:rsidRPr="00FC3BC5">
                              <w:rPr>
                                <w:rFonts w:ascii="Times New Roman" w:hAnsi="Times New Roman" w:cs="Times New Roman"/>
                                <w:b/>
                                <w:color w:val="0D0D0D" w:themeColor="text1" w:themeTint="F2"/>
                                <w:sz w:val="24"/>
                                <w:szCs w:val="24"/>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387E3F" id="Oval 3" o:spid="_x0000_s1027" style="position:absolute;margin-left:28.15pt;margin-top:21.4pt;width:137.25pt;height: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" fillcolor="#ff5050" strokecolor="black [3213]" strokeweight="1pt">
                <v:stroke joinstyle="miter"/>
                <v:textbox>
                  <w:txbxContent>
                    <w:p w:rsidR="00676FC9" w:rsidRPr="00FC3BC5" w:rsidRDefault="004E377E" w:rsidP="00676FC9">
                      <w:pPr>
                        <w:jc w:val="center"/>
                        <w:rPr>
                          <w:rFonts w:ascii="Times New Roman" w:hAnsi="Times New Roman" w:cs="Times New Roman"/>
                          <w:b/>
                          <w:color w:val="0D0D0D" w:themeColor="text1" w:themeTint="F2"/>
                          <w:sz w:val="24"/>
                          <w:szCs w:val="24"/>
                          <w:lang w:val="en-US"/>
                        </w:rPr>
                      </w:pPr>
                      <w:proofErr w:type="gramStart"/>
                      <w:r>
                        <w:rPr>
                          <w:rFonts w:ascii="Times New Roman" w:hAnsi="Times New Roman" w:cs="Times New Roman"/>
                          <w:b/>
                          <w:color w:val="0D0D0D" w:themeColor="text1" w:themeTint="F2"/>
                          <w:sz w:val="24"/>
                          <w:szCs w:val="24"/>
                          <w:lang w:val="en-US"/>
                        </w:rPr>
                        <w:t>d</w:t>
                      </w:r>
                      <w:r w:rsidR="000A365E" w:rsidRPr="00FC3BC5">
                        <w:rPr>
                          <w:rFonts w:ascii="Times New Roman" w:hAnsi="Times New Roman" w:cs="Times New Roman"/>
                          <w:b/>
                          <w:color w:val="0D0D0D" w:themeColor="text1" w:themeTint="F2"/>
                          <w:sz w:val="24"/>
                          <w:szCs w:val="24"/>
                          <w:lang w:val="en-US"/>
                        </w:rPr>
                        <w:t>ietary</w:t>
                      </w:r>
                      <w:proofErr w:type="gramEnd"/>
                      <w:r w:rsidR="00CA2222">
                        <w:rPr>
                          <w:rFonts w:ascii="Times New Roman" w:hAnsi="Times New Roman" w:cs="Times New Roman"/>
                          <w:b/>
                          <w:color w:val="0D0D0D" w:themeColor="text1" w:themeTint="F2"/>
                          <w:sz w:val="24"/>
                          <w:szCs w:val="24"/>
                          <w:lang w:val="en-US"/>
                        </w:rPr>
                        <w:t xml:space="preserve"> </w:t>
                      </w:r>
                      <w:r w:rsidR="00CE0DBF" w:rsidRPr="00FC3BC5">
                        <w:rPr>
                          <w:rFonts w:ascii="Times New Roman" w:hAnsi="Times New Roman" w:cs="Times New Roman"/>
                          <w:b/>
                          <w:color w:val="0D0D0D" w:themeColor="text1" w:themeTint="F2"/>
                          <w:sz w:val="24"/>
                          <w:szCs w:val="24"/>
                          <w:lang w:val="en-US"/>
                        </w:rPr>
                        <w:t>regime</w:t>
                      </w:r>
                      <w:r w:rsidR="00676FC9" w:rsidRPr="00FC3BC5">
                        <w:rPr>
                          <w:rFonts w:ascii="Times New Roman" w:hAnsi="Times New Roman" w:cs="Times New Roman"/>
                          <w:b/>
                          <w:color w:val="0D0D0D" w:themeColor="text1" w:themeTint="F2"/>
                          <w:sz w:val="24"/>
                          <w:szCs w:val="24"/>
                          <w:lang w:val="en-US"/>
                        </w:rPr>
                        <w:t>-metabolic syndrome-tooth</w:t>
                      </w:r>
                      <w:r w:rsidR="00F91DB0" w:rsidRPr="00FC3BC5">
                        <w:rPr>
                          <w:rFonts w:ascii="Times New Roman" w:hAnsi="Times New Roman" w:cs="Times New Roman"/>
                          <w:b/>
                          <w:color w:val="0D0D0D" w:themeColor="text1" w:themeTint="F2"/>
                          <w:sz w:val="24"/>
                          <w:szCs w:val="24"/>
                          <w:lang w:val="en-US"/>
                        </w:rPr>
                        <w:t xml:space="preserve"> loss</w:t>
                      </w:r>
                      <w:r w:rsidR="00676FC9" w:rsidRPr="00FC3BC5">
                        <w:rPr>
                          <w:rFonts w:ascii="Times New Roman" w:hAnsi="Times New Roman" w:cs="Times New Roman"/>
                          <w:b/>
                          <w:color w:val="0D0D0D" w:themeColor="text1" w:themeTint="F2"/>
                          <w:sz w:val="24"/>
                          <w:szCs w:val="24"/>
                          <w:lang w:val="en-US"/>
                        </w:rPr>
                        <w:t xml:space="preserve"> </w:t>
                      </w:r>
                      <w:r w:rsidR="00F91DB0" w:rsidRPr="00FC3BC5">
                        <w:rPr>
                          <w:rFonts w:ascii="Times New Roman" w:hAnsi="Times New Roman" w:cs="Times New Roman"/>
                          <w:b/>
                          <w:color w:val="0D0D0D" w:themeColor="text1" w:themeTint="F2"/>
                          <w:sz w:val="24"/>
                          <w:szCs w:val="24"/>
                          <w:lang w:val="en-US"/>
                        </w:rPr>
                        <w:t xml:space="preserve"> </w:t>
                      </w:r>
                    </w:p>
                  </w:txbxContent>
                </v:textbox>
              </v:oval>
            </w:pict>
          </mc:Fallback>
        </mc:AlternateContent>
      </w:r>
      <w:r w:rsidR="00AD0436">
        <w:rPr>
          <w:rFonts w:ascii="Times New Roman" w:eastAsia="Times New Roman" w:hAnsi="Times New Roman" w:cs="Times New Roman"/>
          <w:b/>
          <w:noProof/>
          <w:sz w:val="24"/>
          <w:szCs w:val="24"/>
          <w:lang w:eastAsia="bg-BG"/>
        </w:rPr>
        <w:drawing>
          <wp:inline distT="0" distB="0" distL="0" distR="0">
            <wp:extent cx="6038850" cy="3771900"/>
            <wp:effectExtent l="38100" t="0" r="1905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7D4CE1" w:rsidRPr="008D77E7" w:rsidRDefault="007D4CE1" w:rsidP="007D4CE1">
      <w:pPr>
        <w:spacing w:after="0" w:line="276" w:lineRule="auto"/>
        <w:rPr>
          <w:rFonts w:ascii="Times New Roman" w:eastAsia="Times New Roman" w:hAnsi="Times New Roman" w:cs="Times New Roman"/>
          <w:b/>
          <w:sz w:val="24"/>
          <w:szCs w:val="24"/>
          <w:lang w:val="en-US" w:eastAsia="bg-BG"/>
        </w:rPr>
      </w:pPr>
      <w:r w:rsidRPr="008D77E7">
        <w:rPr>
          <w:rFonts w:ascii="Times New Roman" w:eastAsia="Times New Roman" w:hAnsi="Times New Roman" w:cs="Times New Roman"/>
          <w:b/>
          <w:sz w:val="24"/>
          <w:szCs w:val="24"/>
          <w:lang w:val="en-US" w:eastAsia="bg-BG"/>
        </w:rPr>
        <w:t>Figure.</w:t>
      </w:r>
      <w:r>
        <w:rPr>
          <w:rFonts w:ascii="Times New Roman" w:eastAsia="Times New Roman" w:hAnsi="Times New Roman" w:cs="Times New Roman"/>
          <w:b/>
          <w:sz w:val="24"/>
          <w:szCs w:val="24"/>
          <w:lang w:val="en-US" w:eastAsia="bg-BG"/>
        </w:rPr>
        <w:t xml:space="preserve"> 1</w:t>
      </w:r>
      <w:r w:rsidRPr="008D77E7">
        <w:rPr>
          <w:rFonts w:ascii="Times New Roman" w:eastAsia="Times New Roman" w:hAnsi="Times New Roman" w:cs="Times New Roman"/>
          <w:b/>
          <w:sz w:val="24"/>
          <w:szCs w:val="24"/>
          <w:lang w:val="en-US" w:eastAsia="bg-BG"/>
        </w:rPr>
        <w:t xml:space="preserve"> Obesity and Oral-Health Status in Children</w:t>
      </w:r>
    </w:p>
    <w:p w:rsidR="00A53648" w:rsidRPr="00C23DCD" w:rsidRDefault="00A53648" w:rsidP="00C23DCD">
      <w:pPr>
        <w:widowControl w:val="0"/>
        <w:shd w:val="clear" w:color="auto" w:fill="FFFFFF" w:themeFill="background1"/>
        <w:spacing w:before="3" w:after="0" w:line="276" w:lineRule="auto"/>
        <w:rPr>
          <w:rStyle w:val="Hyperlink"/>
          <w:rFonts w:ascii="Times New Roman" w:hAnsi="Times New Roman" w:cs="Times New Roman"/>
          <w:color w:val="auto"/>
          <w:sz w:val="24"/>
          <w:szCs w:val="24"/>
          <w:u w:val="none"/>
          <w:lang w:val="en-US"/>
        </w:rPr>
      </w:pPr>
    </w:p>
    <w:p w:rsidR="00106072" w:rsidRDefault="004152D4" w:rsidP="004152D4">
      <w:pPr>
        <w:widowControl w:val="0"/>
        <w:spacing w:before="92" w:after="0" w:line="240" w:lineRule="auto"/>
        <w:ind w:right="4234"/>
        <w:rPr>
          <w:rFonts w:ascii="Arial" w:eastAsia="Tw Cen MT" w:hAnsi="Tw Cen MT" w:cs="Tw Cen MT"/>
          <w:color w:val="BF5A14"/>
          <w:lang w:val="en-US"/>
        </w:rPr>
      </w:pPr>
      <w:r w:rsidRPr="004152D4">
        <w:rPr>
          <w:rFonts w:ascii="Tw Cen MT" w:eastAsia="Tw Cen MT" w:hAnsi="Tw Cen MT" w:cs="Tw Cen MT"/>
          <w:noProof/>
          <w:lang w:val="en-US"/>
        </w:rPr>
        <w:t xml:space="preserve"> </w:t>
      </w:r>
      <w:r w:rsidR="00106072" w:rsidRPr="00C04C2A">
        <w:rPr>
          <w:noProof/>
          <w:lang w:eastAsia="bg-BG"/>
        </w:rPr>
        <w:drawing>
          <wp:inline distT="0" distB="0" distL="0" distR="0" wp14:anchorId="574FCC6B" wp14:editId="2B621052">
            <wp:extent cx="657225" cy="876300"/>
            <wp:effectExtent l="0" t="0" r="9525" b="0"/>
            <wp:docPr id="10" name="Picture 10" descr="C:\Users\Home\Desktop\Assistant Dr Sirma Todorova Angelo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Assistant Dr Sirma Todorova Angelova.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626" cy="888835"/>
                    </a:xfrm>
                    <a:prstGeom prst="rect">
                      <a:avLst/>
                    </a:prstGeom>
                    <a:noFill/>
                    <a:ln>
                      <a:noFill/>
                    </a:ln>
                  </pic:spPr>
                </pic:pic>
              </a:graphicData>
            </a:graphic>
          </wp:inline>
        </w:drawing>
      </w:r>
      <w:r w:rsidRPr="004152D4">
        <w:rPr>
          <w:rFonts w:ascii="Tw Cen MT" w:eastAsia="Tw Cen MT" w:hAnsi="Tw Cen MT" w:cs="Tw Cen MT"/>
          <w:noProof/>
          <w:lang w:val="en-US"/>
        </w:rPr>
        <w:t xml:space="preserve"> </w:t>
      </w:r>
      <w:r w:rsidR="00106072" w:rsidRPr="004152D4">
        <w:rPr>
          <w:rFonts w:ascii="Arial" w:eastAsia="Tw Cen MT" w:hAnsi="Tw Cen MT" w:cs="Tw Cen MT"/>
          <w:color w:val="BF5A14"/>
          <w:lang w:val="en-US"/>
        </w:rPr>
        <w:t>Biography</w:t>
      </w:r>
    </w:p>
    <w:p w:rsidR="00F75A21" w:rsidRPr="002C4C07" w:rsidRDefault="00F75A21" w:rsidP="00F75A21">
      <w:pPr>
        <w:rPr>
          <w:rFonts w:ascii="Arial" w:hAnsi="Arial" w:cs="Arial"/>
          <w:sz w:val="16"/>
          <w:szCs w:val="16"/>
          <w:lang w:val="en-US"/>
        </w:rPr>
      </w:pPr>
      <w:bookmarkStart w:id="0" w:name="_GoBack"/>
      <w:r w:rsidRPr="002C4C07">
        <w:rPr>
          <w:rFonts w:ascii="Arial" w:hAnsi="Arial" w:cs="Arial"/>
          <w:sz w:val="16"/>
          <w:szCs w:val="16"/>
          <w:lang w:val="en-US"/>
        </w:rPr>
        <w:t xml:space="preserve">In 2005 Dr Sirma Angelova graduated at the University of Economics in Varna, Bulgaria. In 2011 Angelova gained a Master Degree of Dental Medicine at the Medical University-Varna. Since 2011 she has been working as an Assistant-Professor at Medical University-Varna. Dr Angelova gained a Certificate of Specialization of Pediatric Dentistry in 2015. In 2017 Angelova gained a postgraduate degree after accomplishment of an independent research on the topic of “Caries Risk Assessment and Prevention in Children Suffering from Some Renal Disorders”. In 2019 has been issued the monograph entitled “Epigenetic and Genetic Aspects of Oral Health in Children with Pyelonephritis” authored by Sirma Todorova Angelova. Sirma Angelova has authored and co-authored more than 70 papers. Dr. Angelova has participated in more than 50 scientific congresses.  </w:t>
      </w:r>
    </w:p>
    <w:bookmarkEnd w:id="0"/>
    <w:p w:rsidR="009C2D9A" w:rsidRPr="009C2D9A" w:rsidRDefault="009C2D9A" w:rsidP="009C2D9A">
      <w:pPr>
        <w:widowControl w:val="0"/>
        <w:spacing w:before="3"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E-mail: </w:t>
      </w:r>
      <w:hyperlink r:id="rId17" w:history="1">
        <w:r w:rsidRPr="00FA21B7">
          <w:rPr>
            <w:rStyle w:val="Hyperlink"/>
            <w:rFonts w:ascii="Times New Roman" w:hAnsi="Times New Roman" w:cs="Times New Roman"/>
            <w:sz w:val="24"/>
            <w:szCs w:val="24"/>
            <w:lang w:val="en-US"/>
          </w:rPr>
          <w:t>dsirma_angelova@abv.bg</w:t>
        </w:r>
      </w:hyperlink>
    </w:p>
    <w:p w:rsidR="004152D4" w:rsidRPr="004152D4" w:rsidRDefault="004152D4" w:rsidP="004152D4">
      <w:pPr>
        <w:widowControl w:val="0"/>
        <w:spacing w:before="2" w:after="0" w:line="240" w:lineRule="auto"/>
        <w:rPr>
          <w:rFonts w:ascii="Arial" w:eastAsia="Tw Cen MT" w:hAnsi="Tw Cen MT" w:cs="Tw Cen MT"/>
          <w:sz w:val="19"/>
          <w:szCs w:val="18"/>
          <w:lang w:val="en-US"/>
        </w:rPr>
      </w:pPr>
      <w:r w:rsidRPr="004152D4">
        <w:rPr>
          <w:rFonts w:ascii="Tw Cen MT" w:eastAsia="Tw Cen MT" w:hAnsi="Tw Cen MT" w:cs="Tw Cen MT"/>
          <w:noProof/>
          <w:sz w:val="18"/>
          <w:szCs w:val="18"/>
          <w:lang w:eastAsia="bg-BG"/>
        </w:rPr>
        <mc:AlternateContent>
          <mc:Choice Requires="wps">
            <w:drawing>
              <wp:anchor distT="0" distB="0" distL="0" distR="0" simplePos="0" relativeHeight="251664384" behindDoc="0" locked="0" layoutInCell="1" allowOverlap="1" wp14:anchorId="31D22A98" wp14:editId="66B8CFF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9E01E" id="Line 3"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4152D4" w:rsidRPr="004152D4" w:rsidRDefault="004152D4" w:rsidP="004152D4">
      <w:pPr>
        <w:widowControl w:val="0"/>
        <w:spacing w:after="0" w:line="240" w:lineRule="auto"/>
        <w:rPr>
          <w:rFonts w:ascii="Arial" w:eastAsia="Tw Cen MT" w:hAnsi="Tw Cen MT" w:cs="Tw Cen MT"/>
          <w:sz w:val="20"/>
          <w:szCs w:val="18"/>
          <w:lang w:val="en-US"/>
        </w:rPr>
      </w:pPr>
    </w:p>
    <w:p w:rsidR="004152D4" w:rsidRPr="004152D4" w:rsidRDefault="004152D4" w:rsidP="004152D4">
      <w:pPr>
        <w:widowControl w:val="0"/>
        <w:spacing w:after="0" w:line="240" w:lineRule="auto"/>
        <w:rPr>
          <w:rFonts w:ascii="Arial" w:eastAsia="Tw Cen MT" w:hAnsi="Tw Cen MT" w:cs="Tw Cen MT"/>
          <w:sz w:val="20"/>
          <w:szCs w:val="18"/>
          <w:lang w:val="en-US"/>
        </w:rPr>
      </w:pPr>
    </w:p>
    <w:p w:rsidR="004152D4" w:rsidRPr="004152D4" w:rsidRDefault="004152D4" w:rsidP="004152D4">
      <w:pPr>
        <w:widowControl w:val="0"/>
        <w:spacing w:before="7" w:after="0" w:line="240" w:lineRule="auto"/>
        <w:rPr>
          <w:rFonts w:ascii="Arial" w:eastAsia="Tw Cen MT" w:hAnsi="Tw Cen MT" w:cs="Tw Cen MT"/>
          <w:sz w:val="29"/>
          <w:szCs w:val="18"/>
          <w:lang w:val="en-US"/>
        </w:rPr>
      </w:pPr>
    </w:p>
    <w:p w:rsidR="004152D4" w:rsidRPr="004152D4" w:rsidRDefault="004152D4" w:rsidP="004152D4">
      <w:pPr>
        <w:widowControl w:val="0"/>
        <w:spacing w:before="39" w:after="0" w:line="240" w:lineRule="auto"/>
        <w:ind w:left="100"/>
        <w:rPr>
          <w:rFonts w:ascii="Minion Pro" w:eastAsia="Tw Cen MT" w:hAnsi="Tw Cen MT" w:cs="Tw Cen MT"/>
          <w:sz w:val="20"/>
          <w:lang w:val="en-US"/>
        </w:rPr>
      </w:pPr>
      <w:r w:rsidRPr="004152D4">
        <w:rPr>
          <w:rFonts w:ascii="Minion Pro" w:eastAsia="Tw Cen MT" w:hAnsi="Tw Cen MT" w:cs="Tw Cen MT"/>
          <w:b/>
          <w:sz w:val="20"/>
          <w:lang w:val="en-US"/>
        </w:rPr>
        <w:t>Notes/Comments:</w:t>
      </w:r>
      <w:r w:rsidR="007A1611">
        <w:rPr>
          <w:rFonts w:ascii="Minion Pro" w:eastAsia="Tw Cen MT" w:hAnsi="Tw Cen MT" w:cs="Tw Cen MT"/>
          <w:b/>
          <w:sz w:val="20"/>
          <w:lang w:val="en-US"/>
        </w:rPr>
        <w:t xml:space="preserve"> </w:t>
      </w:r>
      <w:r w:rsidR="007A1611" w:rsidRPr="007A1611">
        <w:rPr>
          <w:rFonts w:ascii="Minion Pro" w:eastAsia="Tw Cen MT" w:hAnsi="Tw Cen MT" w:cs="Tw Cen MT"/>
          <w:sz w:val="20"/>
          <w:lang w:val="en-US"/>
        </w:rPr>
        <w:t>With request to be considered the fact that the abstract consists of more than 300 words because its content corresponds to a topic of multi-aspect significance in the format of a literature review.</w:t>
      </w:r>
    </w:p>
    <w:p w:rsidR="00C23DCD" w:rsidRPr="007A1611" w:rsidRDefault="00C23DCD" w:rsidP="006053C5">
      <w:pPr>
        <w:widowControl w:val="0"/>
        <w:spacing w:before="3" w:after="0" w:line="276" w:lineRule="auto"/>
        <w:rPr>
          <w:rFonts w:ascii="Times New Roman" w:hAnsi="Times New Roman" w:cs="Times New Roman"/>
          <w:sz w:val="24"/>
          <w:szCs w:val="24"/>
          <w:lang w:val="en-US"/>
        </w:rPr>
      </w:pPr>
    </w:p>
    <w:p w:rsidR="007D4CE1" w:rsidRPr="007A1611" w:rsidRDefault="007D4CE1" w:rsidP="006053C5">
      <w:pPr>
        <w:widowControl w:val="0"/>
        <w:spacing w:before="3" w:after="0" w:line="276" w:lineRule="auto"/>
        <w:rPr>
          <w:rFonts w:ascii="Times New Roman" w:hAnsi="Times New Roman" w:cs="Times New Roman"/>
          <w:sz w:val="24"/>
          <w:szCs w:val="24"/>
          <w:lang w:val="en-US"/>
        </w:rPr>
      </w:pPr>
    </w:p>
    <w:p w:rsidR="007D4CE1" w:rsidRDefault="007D4CE1" w:rsidP="006053C5">
      <w:pPr>
        <w:widowControl w:val="0"/>
        <w:spacing w:before="3" w:after="0" w:line="276" w:lineRule="auto"/>
        <w:rPr>
          <w:rFonts w:ascii="Times New Roman" w:hAnsi="Times New Roman" w:cs="Times New Roman"/>
          <w:sz w:val="24"/>
          <w:szCs w:val="24"/>
          <w:lang w:val="en-US"/>
        </w:rPr>
      </w:pPr>
    </w:p>
    <w:p w:rsidR="00B305CD" w:rsidRDefault="00B305CD" w:rsidP="00B305CD">
      <w:pPr>
        <w:rPr>
          <w:rFonts w:ascii="Times New Roman" w:hAnsi="Times New Roman" w:cs="Times New Roman"/>
          <w:sz w:val="24"/>
          <w:szCs w:val="24"/>
          <w:lang w:val="en-US"/>
        </w:rPr>
      </w:pPr>
    </w:p>
    <w:p w:rsidR="00CA6435" w:rsidRPr="00B305CD" w:rsidRDefault="00B305CD" w:rsidP="00B305CD">
      <w:pPr>
        <w:tabs>
          <w:tab w:val="left" w:pos="8370"/>
        </w:tabs>
        <w:rPr>
          <w:rFonts w:ascii="Times New Roman" w:hAnsi="Times New Roman" w:cs="Times New Roman"/>
          <w:sz w:val="24"/>
          <w:szCs w:val="24"/>
          <w:lang w:val="en-US"/>
        </w:rPr>
      </w:pPr>
      <w:r>
        <w:rPr>
          <w:rFonts w:ascii="Times New Roman" w:hAnsi="Times New Roman" w:cs="Times New Roman"/>
          <w:sz w:val="24"/>
          <w:szCs w:val="24"/>
          <w:lang w:val="en-US"/>
        </w:rPr>
        <w:tab/>
      </w:r>
    </w:p>
    <w:sectPr w:rsidR="00CA6435" w:rsidRPr="00B305CD" w:rsidSect="007D4CE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EC1" w:rsidRDefault="00831EC1" w:rsidP="00AE5579">
      <w:pPr>
        <w:spacing w:after="0" w:line="240" w:lineRule="auto"/>
      </w:pPr>
      <w:r>
        <w:separator/>
      </w:r>
    </w:p>
  </w:endnote>
  <w:endnote w:type="continuationSeparator" w:id="0">
    <w:p w:rsidR="00831EC1" w:rsidRDefault="00831EC1" w:rsidP="00AE5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4153023"/>
      <w:docPartObj>
        <w:docPartGallery w:val="Page Numbers (Bottom of Page)"/>
        <w:docPartUnique/>
      </w:docPartObj>
    </w:sdtPr>
    <w:sdtEndPr>
      <w:rPr>
        <w:noProof/>
      </w:rPr>
    </w:sdtEndPr>
    <w:sdtContent>
      <w:p w:rsidR="00AE5579" w:rsidRDefault="00AE5579">
        <w:pPr>
          <w:pStyle w:val="Footer"/>
          <w:jc w:val="right"/>
        </w:pPr>
        <w:r>
          <w:fldChar w:fldCharType="begin"/>
        </w:r>
        <w:r>
          <w:instrText xml:space="preserve"> PAGE   \* MERGEFORMAT </w:instrText>
        </w:r>
        <w:r>
          <w:fldChar w:fldCharType="separate"/>
        </w:r>
        <w:r w:rsidR="002C4C07">
          <w:rPr>
            <w:noProof/>
          </w:rPr>
          <w:t>3</w:t>
        </w:r>
        <w:r>
          <w:rPr>
            <w:noProof/>
          </w:rPr>
          <w:fldChar w:fldCharType="end"/>
        </w:r>
      </w:p>
    </w:sdtContent>
  </w:sdt>
  <w:p w:rsidR="00AE5579" w:rsidRDefault="00AE55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EC1" w:rsidRDefault="00831EC1" w:rsidP="00AE5579">
      <w:pPr>
        <w:spacing w:after="0" w:line="240" w:lineRule="auto"/>
      </w:pPr>
      <w:r>
        <w:separator/>
      </w:r>
    </w:p>
  </w:footnote>
  <w:footnote w:type="continuationSeparator" w:id="0">
    <w:p w:rsidR="00831EC1" w:rsidRDefault="00831EC1" w:rsidP="00AE55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A72BE"/>
    <w:multiLevelType w:val="multilevel"/>
    <w:tmpl w:val="6CB26432"/>
    <w:lvl w:ilvl="0">
      <w:start w:val="1"/>
      <w:numFmt w:val="decimal"/>
      <w:lvlText w:val="%1."/>
      <w:lvlJc w:val="left"/>
      <w:pPr>
        <w:tabs>
          <w:tab w:val="num" w:pos="1069"/>
        </w:tabs>
        <w:ind w:left="106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C52124"/>
    <w:multiLevelType w:val="hybridMultilevel"/>
    <w:tmpl w:val="BDD08ACE"/>
    <w:lvl w:ilvl="0" w:tplc="0402000F">
      <w:start w:val="15"/>
      <w:numFmt w:val="decimal"/>
      <w:lvlText w:val="%1."/>
      <w:lvlJc w:val="left"/>
      <w:pPr>
        <w:ind w:left="720" w:hanging="360"/>
      </w:pPr>
      <w:rPr>
        <w:rFonts w:eastAsia="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18C2921"/>
    <w:multiLevelType w:val="hybridMultilevel"/>
    <w:tmpl w:val="BBA42116"/>
    <w:lvl w:ilvl="0" w:tplc="2DCC748C">
      <w:start w:val="24"/>
      <w:numFmt w:val="decimal"/>
      <w:lvlText w:val="%1."/>
      <w:lvlJc w:val="left"/>
      <w:pPr>
        <w:ind w:left="1080" w:hanging="360"/>
      </w:pPr>
      <w:rPr>
        <w:rFonts w:asciiTheme="minorHAnsi" w:eastAsiaTheme="minorHAnsi" w:hAnsiTheme="minorHAnsi" w:cstheme="minorBidi" w:hint="default"/>
        <w:sz w:val="22"/>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21AE47AF"/>
    <w:multiLevelType w:val="hybridMultilevel"/>
    <w:tmpl w:val="A5202F74"/>
    <w:lvl w:ilvl="0" w:tplc="0402000F">
      <w:start w:val="1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8ED566E"/>
    <w:multiLevelType w:val="hybridMultilevel"/>
    <w:tmpl w:val="7A7A00E0"/>
    <w:lvl w:ilvl="0" w:tplc="C97EA5B4">
      <w:start w:val="24"/>
      <w:numFmt w:val="decimal"/>
      <w:lvlText w:val="%1."/>
      <w:lvlJc w:val="left"/>
      <w:pPr>
        <w:ind w:left="1440" w:hanging="360"/>
      </w:pPr>
      <w:rPr>
        <w:rFonts w:eastAsiaTheme="minorHAnsi"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5">
    <w:nsid w:val="35A9474D"/>
    <w:multiLevelType w:val="hybridMultilevel"/>
    <w:tmpl w:val="D6E0F276"/>
    <w:lvl w:ilvl="0" w:tplc="0402000F">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6">
    <w:nsid w:val="38861E1E"/>
    <w:multiLevelType w:val="multilevel"/>
    <w:tmpl w:val="2EB2C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BCA4EB2"/>
    <w:multiLevelType w:val="hybridMultilevel"/>
    <w:tmpl w:val="90523750"/>
    <w:lvl w:ilvl="0" w:tplc="8B968666">
      <w:start w:val="19"/>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8">
    <w:nsid w:val="4CB57860"/>
    <w:multiLevelType w:val="hybridMultilevel"/>
    <w:tmpl w:val="8D6025FA"/>
    <w:lvl w:ilvl="0" w:tplc="4A760EE4">
      <w:start w:val="13"/>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9">
    <w:nsid w:val="4E7C2311"/>
    <w:multiLevelType w:val="hybridMultilevel"/>
    <w:tmpl w:val="A8208068"/>
    <w:lvl w:ilvl="0" w:tplc="167C181E">
      <w:start w:val="4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0">
    <w:nsid w:val="50837724"/>
    <w:multiLevelType w:val="hybridMultilevel"/>
    <w:tmpl w:val="DB3E71F0"/>
    <w:lvl w:ilvl="0" w:tplc="BF78D5C0">
      <w:start w:val="49"/>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1">
    <w:nsid w:val="604879CD"/>
    <w:multiLevelType w:val="hybridMultilevel"/>
    <w:tmpl w:val="D5A6E8C2"/>
    <w:lvl w:ilvl="0" w:tplc="6EB0E556">
      <w:start w:val="25"/>
      <w:numFmt w:val="decimal"/>
      <w:lvlText w:val="%1."/>
      <w:lvlJc w:val="left"/>
      <w:pPr>
        <w:ind w:left="1080" w:hanging="360"/>
      </w:pPr>
      <w:rPr>
        <w:rFonts w:asciiTheme="minorHAnsi" w:eastAsiaTheme="minorHAnsi" w:hAnsiTheme="minorHAnsi" w:cstheme="minorBidi" w:hint="default"/>
        <w:sz w:val="22"/>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nsid w:val="7A2B296B"/>
    <w:multiLevelType w:val="hybridMultilevel"/>
    <w:tmpl w:val="884C2F02"/>
    <w:lvl w:ilvl="0" w:tplc="0402000F">
      <w:start w:val="4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5"/>
  </w:num>
  <w:num w:numId="2">
    <w:abstractNumId w:val="0"/>
  </w:num>
  <w:num w:numId="3">
    <w:abstractNumId w:val="9"/>
  </w:num>
  <w:num w:numId="4">
    <w:abstractNumId w:val="8"/>
  </w:num>
  <w:num w:numId="5">
    <w:abstractNumId w:val="7"/>
  </w:num>
  <w:num w:numId="6">
    <w:abstractNumId w:val="10"/>
  </w:num>
  <w:num w:numId="7">
    <w:abstractNumId w:val="12"/>
  </w:num>
  <w:num w:numId="8">
    <w:abstractNumId w:val="6"/>
  </w:num>
  <w:num w:numId="9">
    <w:abstractNumId w:val="2"/>
  </w:num>
  <w:num w:numId="10">
    <w:abstractNumId w:val="4"/>
  </w:num>
  <w:num w:numId="11">
    <w:abstractNumId w:val="11"/>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11F"/>
    <w:rsid w:val="00001763"/>
    <w:rsid w:val="0000605E"/>
    <w:rsid w:val="000141CF"/>
    <w:rsid w:val="000170CA"/>
    <w:rsid w:val="00026ACD"/>
    <w:rsid w:val="00040550"/>
    <w:rsid w:val="00043DE1"/>
    <w:rsid w:val="00052D13"/>
    <w:rsid w:val="0005332A"/>
    <w:rsid w:val="00061E84"/>
    <w:rsid w:val="00062915"/>
    <w:rsid w:val="000714B8"/>
    <w:rsid w:val="00094734"/>
    <w:rsid w:val="000A365E"/>
    <w:rsid w:val="000E2390"/>
    <w:rsid w:val="00100100"/>
    <w:rsid w:val="001036E9"/>
    <w:rsid w:val="00105B5F"/>
    <w:rsid w:val="00106072"/>
    <w:rsid w:val="0011206C"/>
    <w:rsid w:val="00130630"/>
    <w:rsid w:val="00145579"/>
    <w:rsid w:val="00145FF2"/>
    <w:rsid w:val="001463D8"/>
    <w:rsid w:val="001579B2"/>
    <w:rsid w:val="00162557"/>
    <w:rsid w:val="00163324"/>
    <w:rsid w:val="001653BA"/>
    <w:rsid w:val="00165482"/>
    <w:rsid w:val="00174F10"/>
    <w:rsid w:val="00180665"/>
    <w:rsid w:val="00182157"/>
    <w:rsid w:val="00184225"/>
    <w:rsid w:val="00184A20"/>
    <w:rsid w:val="001F0CF8"/>
    <w:rsid w:val="001F3FCB"/>
    <w:rsid w:val="0020587A"/>
    <w:rsid w:val="00206206"/>
    <w:rsid w:val="00210994"/>
    <w:rsid w:val="00214502"/>
    <w:rsid w:val="00215342"/>
    <w:rsid w:val="00216C91"/>
    <w:rsid w:val="00220220"/>
    <w:rsid w:val="00226024"/>
    <w:rsid w:val="00234680"/>
    <w:rsid w:val="00236B39"/>
    <w:rsid w:val="00250EEF"/>
    <w:rsid w:val="002767E7"/>
    <w:rsid w:val="00282EBC"/>
    <w:rsid w:val="002B43D1"/>
    <w:rsid w:val="002B7DF9"/>
    <w:rsid w:val="002C4C07"/>
    <w:rsid w:val="002D5040"/>
    <w:rsid w:val="002E0089"/>
    <w:rsid w:val="002E4B50"/>
    <w:rsid w:val="00304970"/>
    <w:rsid w:val="003056F9"/>
    <w:rsid w:val="003118B4"/>
    <w:rsid w:val="00330C4F"/>
    <w:rsid w:val="00331933"/>
    <w:rsid w:val="00332833"/>
    <w:rsid w:val="00334407"/>
    <w:rsid w:val="0033687B"/>
    <w:rsid w:val="00343B00"/>
    <w:rsid w:val="00351206"/>
    <w:rsid w:val="0035127F"/>
    <w:rsid w:val="00357CB8"/>
    <w:rsid w:val="00377496"/>
    <w:rsid w:val="00382022"/>
    <w:rsid w:val="003A2646"/>
    <w:rsid w:val="003A76C0"/>
    <w:rsid w:val="003A79D4"/>
    <w:rsid w:val="003B3046"/>
    <w:rsid w:val="003C4C88"/>
    <w:rsid w:val="003D615C"/>
    <w:rsid w:val="003D76C7"/>
    <w:rsid w:val="003E0FC4"/>
    <w:rsid w:val="004032D1"/>
    <w:rsid w:val="004152D4"/>
    <w:rsid w:val="00415963"/>
    <w:rsid w:val="00441E90"/>
    <w:rsid w:val="00443D26"/>
    <w:rsid w:val="00453E4B"/>
    <w:rsid w:val="00463037"/>
    <w:rsid w:val="0046434B"/>
    <w:rsid w:val="0046646C"/>
    <w:rsid w:val="00476F1C"/>
    <w:rsid w:val="00493AF1"/>
    <w:rsid w:val="004A4C9A"/>
    <w:rsid w:val="004B0203"/>
    <w:rsid w:val="004C768A"/>
    <w:rsid w:val="004D4F6E"/>
    <w:rsid w:val="004D7B3C"/>
    <w:rsid w:val="004E377E"/>
    <w:rsid w:val="004F209C"/>
    <w:rsid w:val="00534BE3"/>
    <w:rsid w:val="00540EA4"/>
    <w:rsid w:val="0054657D"/>
    <w:rsid w:val="00546F52"/>
    <w:rsid w:val="00553CBF"/>
    <w:rsid w:val="00557E2D"/>
    <w:rsid w:val="00560D41"/>
    <w:rsid w:val="005617E0"/>
    <w:rsid w:val="005640DB"/>
    <w:rsid w:val="0057635F"/>
    <w:rsid w:val="005919BF"/>
    <w:rsid w:val="005958E4"/>
    <w:rsid w:val="005A7AEF"/>
    <w:rsid w:val="005B71B6"/>
    <w:rsid w:val="005C17DE"/>
    <w:rsid w:val="005D3386"/>
    <w:rsid w:val="005E0E92"/>
    <w:rsid w:val="005E4CB0"/>
    <w:rsid w:val="006053C5"/>
    <w:rsid w:val="00607CC9"/>
    <w:rsid w:val="00613314"/>
    <w:rsid w:val="00633BC7"/>
    <w:rsid w:val="006345C6"/>
    <w:rsid w:val="00637137"/>
    <w:rsid w:val="006401B7"/>
    <w:rsid w:val="00644B52"/>
    <w:rsid w:val="00655A31"/>
    <w:rsid w:val="00660299"/>
    <w:rsid w:val="00673A24"/>
    <w:rsid w:val="00673BA0"/>
    <w:rsid w:val="00676FC9"/>
    <w:rsid w:val="006A12A0"/>
    <w:rsid w:val="006A14B1"/>
    <w:rsid w:val="006B537D"/>
    <w:rsid w:val="006E129B"/>
    <w:rsid w:val="006E2DEA"/>
    <w:rsid w:val="006E42FC"/>
    <w:rsid w:val="006F0750"/>
    <w:rsid w:val="006F0E63"/>
    <w:rsid w:val="00700A4E"/>
    <w:rsid w:val="00704C1F"/>
    <w:rsid w:val="007073DE"/>
    <w:rsid w:val="00720BC0"/>
    <w:rsid w:val="007344AF"/>
    <w:rsid w:val="00751052"/>
    <w:rsid w:val="00763E07"/>
    <w:rsid w:val="00780BB7"/>
    <w:rsid w:val="00780D49"/>
    <w:rsid w:val="00786BD1"/>
    <w:rsid w:val="007A1611"/>
    <w:rsid w:val="007B2032"/>
    <w:rsid w:val="007C20BA"/>
    <w:rsid w:val="007D4CE1"/>
    <w:rsid w:val="007E5556"/>
    <w:rsid w:val="008045BF"/>
    <w:rsid w:val="00824FD4"/>
    <w:rsid w:val="00830033"/>
    <w:rsid w:val="00831D7D"/>
    <w:rsid w:val="00831EC1"/>
    <w:rsid w:val="00834848"/>
    <w:rsid w:val="0084072C"/>
    <w:rsid w:val="00850219"/>
    <w:rsid w:val="00853AEE"/>
    <w:rsid w:val="0086487A"/>
    <w:rsid w:val="008746EB"/>
    <w:rsid w:val="00893522"/>
    <w:rsid w:val="008A744F"/>
    <w:rsid w:val="008D77E7"/>
    <w:rsid w:val="008E16D8"/>
    <w:rsid w:val="008E3839"/>
    <w:rsid w:val="008E67CA"/>
    <w:rsid w:val="008E7707"/>
    <w:rsid w:val="008F1EDC"/>
    <w:rsid w:val="00902C7E"/>
    <w:rsid w:val="00902D23"/>
    <w:rsid w:val="00905F65"/>
    <w:rsid w:val="009152EA"/>
    <w:rsid w:val="00932662"/>
    <w:rsid w:val="009344F7"/>
    <w:rsid w:val="0093629D"/>
    <w:rsid w:val="0094167E"/>
    <w:rsid w:val="00956B31"/>
    <w:rsid w:val="00961A4D"/>
    <w:rsid w:val="00980750"/>
    <w:rsid w:val="00990230"/>
    <w:rsid w:val="00994609"/>
    <w:rsid w:val="009A1C44"/>
    <w:rsid w:val="009B7FA0"/>
    <w:rsid w:val="009C0A8D"/>
    <w:rsid w:val="009C2D9A"/>
    <w:rsid w:val="009D334F"/>
    <w:rsid w:val="00A15232"/>
    <w:rsid w:val="00A16160"/>
    <w:rsid w:val="00A22A70"/>
    <w:rsid w:val="00A3443E"/>
    <w:rsid w:val="00A53648"/>
    <w:rsid w:val="00A5785B"/>
    <w:rsid w:val="00A63B01"/>
    <w:rsid w:val="00A65819"/>
    <w:rsid w:val="00A7109C"/>
    <w:rsid w:val="00A77FF3"/>
    <w:rsid w:val="00A8257C"/>
    <w:rsid w:val="00A922B5"/>
    <w:rsid w:val="00AA47B2"/>
    <w:rsid w:val="00AA7803"/>
    <w:rsid w:val="00AD0436"/>
    <w:rsid w:val="00AD6A73"/>
    <w:rsid w:val="00AE5579"/>
    <w:rsid w:val="00AF2125"/>
    <w:rsid w:val="00AF2B73"/>
    <w:rsid w:val="00B01671"/>
    <w:rsid w:val="00B0372D"/>
    <w:rsid w:val="00B04777"/>
    <w:rsid w:val="00B1727F"/>
    <w:rsid w:val="00B22B7D"/>
    <w:rsid w:val="00B24243"/>
    <w:rsid w:val="00B305CD"/>
    <w:rsid w:val="00B32E11"/>
    <w:rsid w:val="00B455C9"/>
    <w:rsid w:val="00B4724E"/>
    <w:rsid w:val="00B65FE4"/>
    <w:rsid w:val="00B81D89"/>
    <w:rsid w:val="00B9369C"/>
    <w:rsid w:val="00B961E2"/>
    <w:rsid w:val="00BB1A30"/>
    <w:rsid w:val="00BB5069"/>
    <w:rsid w:val="00BD7CAB"/>
    <w:rsid w:val="00BE3E8A"/>
    <w:rsid w:val="00C0214B"/>
    <w:rsid w:val="00C03386"/>
    <w:rsid w:val="00C046B9"/>
    <w:rsid w:val="00C07640"/>
    <w:rsid w:val="00C23DCD"/>
    <w:rsid w:val="00C264CD"/>
    <w:rsid w:val="00C336F6"/>
    <w:rsid w:val="00C60C0F"/>
    <w:rsid w:val="00C701E6"/>
    <w:rsid w:val="00CA2222"/>
    <w:rsid w:val="00CA6435"/>
    <w:rsid w:val="00CA67A9"/>
    <w:rsid w:val="00CC321D"/>
    <w:rsid w:val="00CD0C9E"/>
    <w:rsid w:val="00CD44FD"/>
    <w:rsid w:val="00CD4CDD"/>
    <w:rsid w:val="00CD66D9"/>
    <w:rsid w:val="00CE0DBF"/>
    <w:rsid w:val="00CE62F9"/>
    <w:rsid w:val="00CF266C"/>
    <w:rsid w:val="00CF5A2A"/>
    <w:rsid w:val="00D023A9"/>
    <w:rsid w:val="00D07799"/>
    <w:rsid w:val="00D24C17"/>
    <w:rsid w:val="00D52235"/>
    <w:rsid w:val="00D52B28"/>
    <w:rsid w:val="00D57AB7"/>
    <w:rsid w:val="00D65C06"/>
    <w:rsid w:val="00D80ED3"/>
    <w:rsid w:val="00D83B43"/>
    <w:rsid w:val="00D87861"/>
    <w:rsid w:val="00D93DEB"/>
    <w:rsid w:val="00DA39F4"/>
    <w:rsid w:val="00DB1F14"/>
    <w:rsid w:val="00DB74C9"/>
    <w:rsid w:val="00DD42C1"/>
    <w:rsid w:val="00DE4509"/>
    <w:rsid w:val="00E121E6"/>
    <w:rsid w:val="00E12213"/>
    <w:rsid w:val="00E16290"/>
    <w:rsid w:val="00E235E8"/>
    <w:rsid w:val="00E2391A"/>
    <w:rsid w:val="00E324E6"/>
    <w:rsid w:val="00E34174"/>
    <w:rsid w:val="00E7574C"/>
    <w:rsid w:val="00E87382"/>
    <w:rsid w:val="00E950BF"/>
    <w:rsid w:val="00E95836"/>
    <w:rsid w:val="00E97DBC"/>
    <w:rsid w:val="00EA0928"/>
    <w:rsid w:val="00EA32BA"/>
    <w:rsid w:val="00EB6761"/>
    <w:rsid w:val="00EC6E8B"/>
    <w:rsid w:val="00EC7C2E"/>
    <w:rsid w:val="00EE4283"/>
    <w:rsid w:val="00EE78A0"/>
    <w:rsid w:val="00F10DBE"/>
    <w:rsid w:val="00F2462E"/>
    <w:rsid w:val="00F34460"/>
    <w:rsid w:val="00F47B16"/>
    <w:rsid w:val="00F6569A"/>
    <w:rsid w:val="00F672D3"/>
    <w:rsid w:val="00F71D8A"/>
    <w:rsid w:val="00F75A21"/>
    <w:rsid w:val="00F8411F"/>
    <w:rsid w:val="00F84813"/>
    <w:rsid w:val="00F85A4E"/>
    <w:rsid w:val="00F87E0A"/>
    <w:rsid w:val="00F91BA1"/>
    <w:rsid w:val="00F91DB0"/>
    <w:rsid w:val="00FA7E3D"/>
    <w:rsid w:val="00FC3BC5"/>
    <w:rsid w:val="00FD0CDD"/>
    <w:rsid w:val="00FE7CE9"/>
    <w:rsid w:val="00FF5E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E2359F-11E8-4519-8782-720E0062E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411F"/>
    <w:pPr>
      <w:ind w:left="720"/>
      <w:contextualSpacing/>
    </w:pPr>
  </w:style>
  <w:style w:type="character" w:styleId="Hyperlink">
    <w:name w:val="Hyperlink"/>
    <w:basedOn w:val="DefaultParagraphFont"/>
    <w:uiPriority w:val="99"/>
    <w:unhideWhenUsed/>
    <w:rsid w:val="00534BE3"/>
    <w:rPr>
      <w:color w:val="0563C1" w:themeColor="hyperlink"/>
      <w:u w:val="single"/>
    </w:rPr>
  </w:style>
  <w:style w:type="paragraph" w:styleId="Header">
    <w:name w:val="header"/>
    <w:basedOn w:val="Normal"/>
    <w:link w:val="HeaderChar"/>
    <w:uiPriority w:val="99"/>
    <w:unhideWhenUsed/>
    <w:rsid w:val="00AE557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E5579"/>
  </w:style>
  <w:style w:type="paragraph" w:styleId="Footer">
    <w:name w:val="footer"/>
    <w:basedOn w:val="Normal"/>
    <w:link w:val="FooterChar"/>
    <w:uiPriority w:val="99"/>
    <w:unhideWhenUsed/>
    <w:rsid w:val="00AE557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E5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mailto:dsirma_angelova@abv.bg" TargetMode="Externa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hyperlink" Target="https://doi.org/10.1016/j.maturitas.2011.02.01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dmin.ejpd.eu/download/EJPD_2014_4_1.pdf" TargetMode="Externa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3012291-10AA-4243-8EF6-C3062404560A}" type="doc">
      <dgm:prSet loTypeId="urn:microsoft.com/office/officeart/2005/8/layout/radial5" loCatId="cycle" qsTypeId="urn:microsoft.com/office/officeart/2005/8/quickstyle/3d3" qsCatId="3D" csTypeId="urn:microsoft.com/office/officeart/2005/8/colors/accent1_2" csCatId="accent1" phldr="1"/>
      <dgm:spPr/>
      <dgm:t>
        <a:bodyPr/>
        <a:lstStyle/>
        <a:p>
          <a:endParaRPr lang="bg-BG"/>
        </a:p>
      </dgm:t>
    </dgm:pt>
    <dgm:pt modelId="{CAF99453-EE2A-4178-9D71-06979AB726C5}">
      <dgm:prSet phldrT="[Text]" custT="1"/>
      <dgm:spPr>
        <a:solidFill>
          <a:srgbClr val="FF0000"/>
        </a:solidFill>
      </dgm:spPr>
      <dgm:t>
        <a:bodyPr/>
        <a:lstStyle/>
        <a:p>
          <a:r>
            <a:rPr lang="en-US" sz="1400" b="1">
              <a:solidFill>
                <a:schemeClr val="tx1"/>
              </a:solidFill>
              <a:latin typeface="Times New Roman" panose="02020603050405020304" pitchFamily="18" charset="0"/>
              <a:cs typeface="Times New Roman" panose="02020603050405020304" pitchFamily="18" charset="0"/>
            </a:rPr>
            <a:t>metabolic disorder of obesity in children and oral-dental health</a:t>
          </a:r>
          <a:endParaRPr lang="bg-BG" sz="1400" b="1">
            <a:solidFill>
              <a:schemeClr val="tx1"/>
            </a:solidFill>
            <a:latin typeface="Times New Roman" panose="02020603050405020304" pitchFamily="18" charset="0"/>
            <a:cs typeface="Times New Roman" panose="02020603050405020304" pitchFamily="18" charset="0"/>
          </a:endParaRPr>
        </a:p>
      </dgm:t>
    </dgm:pt>
    <dgm:pt modelId="{D4223E36-7B92-430B-ABED-F36B7FAE7311}" type="parTrans" cxnId="{F39164C3-C764-4E3F-8D5E-457F9F52C7CE}">
      <dgm:prSet/>
      <dgm:spPr/>
      <dgm:t>
        <a:bodyPr/>
        <a:lstStyle/>
        <a:p>
          <a:endParaRPr lang="bg-BG"/>
        </a:p>
      </dgm:t>
    </dgm:pt>
    <dgm:pt modelId="{6557CEAD-6458-462B-8FF5-6C1D24B42010}" type="sibTrans" cxnId="{F39164C3-C764-4E3F-8D5E-457F9F52C7CE}">
      <dgm:prSet/>
      <dgm:spPr/>
      <dgm:t>
        <a:bodyPr/>
        <a:lstStyle/>
        <a:p>
          <a:endParaRPr lang="bg-BG"/>
        </a:p>
      </dgm:t>
    </dgm:pt>
    <dgm:pt modelId="{247F5A03-05D5-4B7A-A29D-D3870F030EAE}">
      <dgm:prSet phldrT="[Text]" custT="1"/>
      <dgm:spPr>
        <a:solidFill>
          <a:srgbClr val="FFFF00"/>
        </a:solidFill>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risk factors for oral diseases</a:t>
          </a:r>
          <a:endParaRPr lang="bg-BG" sz="1200" b="1">
            <a:solidFill>
              <a:sysClr val="windowText" lastClr="000000"/>
            </a:solidFill>
            <a:latin typeface="Times New Roman" panose="02020603050405020304" pitchFamily="18" charset="0"/>
            <a:cs typeface="Times New Roman" panose="02020603050405020304" pitchFamily="18" charset="0"/>
          </a:endParaRPr>
        </a:p>
      </dgm:t>
    </dgm:pt>
    <dgm:pt modelId="{E695D738-9C2F-477C-9FDA-16351EDD4D2D}" type="parTrans" cxnId="{5AE2219D-DB06-41CB-9F36-79D9D2F7E9AA}">
      <dgm:prSet/>
      <dgm:spPr>
        <a:solidFill>
          <a:schemeClr val="accent4">
            <a:lumMod val="20000"/>
            <a:lumOff val="80000"/>
          </a:schemeClr>
        </a:solidFill>
      </dgm:spPr>
      <dgm:t>
        <a:bodyPr/>
        <a:lstStyle/>
        <a:p>
          <a:endParaRPr lang="bg-BG"/>
        </a:p>
      </dgm:t>
    </dgm:pt>
    <dgm:pt modelId="{4E01A3F8-17B2-413D-BD6B-41E9ED97BF9F}" type="sibTrans" cxnId="{5AE2219D-DB06-41CB-9F36-79D9D2F7E9AA}">
      <dgm:prSet/>
      <dgm:spPr/>
      <dgm:t>
        <a:bodyPr/>
        <a:lstStyle/>
        <a:p>
          <a:endParaRPr lang="bg-BG"/>
        </a:p>
      </dgm:t>
    </dgm:pt>
    <dgm:pt modelId="{D6CE0EE0-330F-44D8-8E8D-43019C6E6D09}">
      <dgm:prSet phldrT="[Text]" custT="1"/>
      <dgm:spPr>
        <a:solidFill>
          <a:srgbClr val="FF9966"/>
        </a:solidFill>
        <a:ln>
          <a:solidFill>
            <a:schemeClr val="bg1"/>
          </a:solidFill>
        </a:ln>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predisposing conditions for obesity</a:t>
          </a:r>
          <a:endParaRPr lang="bg-BG" sz="1200" b="1">
            <a:solidFill>
              <a:sysClr val="windowText" lastClr="000000"/>
            </a:solidFill>
            <a:latin typeface="Times New Roman" panose="02020603050405020304" pitchFamily="18" charset="0"/>
            <a:cs typeface="Times New Roman" panose="02020603050405020304" pitchFamily="18" charset="0"/>
          </a:endParaRPr>
        </a:p>
      </dgm:t>
    </dgm:pt>
    <dgm:pt modelId="{4D08D338-8892-4415-9442-C0E40CBDA17B}" type="parTrans" cxnId="{A39730FB-2F4B-4CCF-B3FE-872483631EF6}">
      <dgm:prSet/>
      <dgm:spPr>
        <a:solidFill>
          <a:schemeClr val="accent4">
            <a:lumMod val="20000"/>
            <a:lumOff val="80000"/>
          </a:schemeClr>
        </a:solidFill>
      </dgm:spPr>
      <dgm:t>
        <a:bodyPr/>
        <a:lstStyle/>
        <a:p>
          <a:endParaRPr lang="bg-BG"/>
        </a:p>
      </dgm:t>
    </dgm:pt>
    <dgm:pt modelId="{77BC0464-5400-4A0F-8B43-E4051F209C76}" type="sibTrans" cxnId="{A39730FB-2F4B-4CCF-B3FE-872483631EF6}">
      <dgm:prSet/>
      <dgm:spPr/>
      <dgm:t>
        <a:bodyPr/>
        <a:lstStyle/>
        <a:p>
          <a:endParaRPr lang="bg-BG"/>
        </a:p>
      </dgm:t>
    </dgm:pt>
    <dgm:pt modelId="{D2836B28-49B5-4D89-AD15-313F0137073E}">
      <dgm:prSet phldrT="[Text]" custT="1"/>
      <dgm:spPr>
        <a:solidFill>
          <a:srgbClr val="CC0099"/>
        </a:solidFill>
      </dgm:spPr>
      <dgm:t>
        <a:bodyPr/>
        <a:lstStyle/>
        <a:p>
          <a:r>
            <a:rPr lang="en-US" sz="1100" b="1">
              <a:solidFill>
                <a:sysClr val="windowText" lastClr="000000"/>
              </a:solidFill>
              <a:latin typeface="Times New Roman" panose="02020603050405020304" pitchFamily="18" charset="0"/>
              <a:cs typeface="Times New Roman" panose="02020603050405020304" pitchFamily="18" charset="0"/>
            </a:rPr>
            <a:t>immune system's functionality and autoimmune diseases</a:t>
          </a:r>
          <a:endParaRPr lang="bg-BG" sz="1100" b="1">
            <a:solidFill>
              <a:sysClr val="windowText" lastClr="000000"/>
            </a:solidFill>
            <a:latin typeface="Times New Roman" panose="02020603050405020304" pitchFamily="18" charset="0"/>
            <a:cs typeface="Times New Roman" panose="02020603050405020304" pitchFamily="18" charset="0"/>
          </a:endParaRPr>
        </a:p>
      </dgm:t>
    </dgm:pt>
    <dgm:pt modelId="{3463FBB0-286D-45A9-96EB-E6AC5044B3E8}" type="parTrans" cxnId="{F86645C8-BC54-47AD-87D7-876A50EABD67}">
      <dgm:prSet/>
      <dgm:spPr>
        <a:solidFill>
          <a:schemeClr val="accent4">
            <a:lumMod val="20000"/>
            <a:lumOff val="80000"/>
          </a:schemeClr>
        </a:solidFill>
      </dgm:spPr>
      <dgm:t>
        <a:bodyPr/>
        <a:lstStyle/>
        <a:p>
          <a:endParaRPr lang="bg-BG"/>
        </a:p>
      </dgm:t>
    </dgm:pt>
    <dgm:pt modelId="{967D9D1E-4F81-48E4-A403-238C71C17180}" type="sibTrans" cxnId="{F86645C8-BC54-47AD-87D7-876A50EABD67}">
      <dgm:prSet/>
      <dgm:spPr/>
      <dgm:t>
        <a:bodyPr/>
        <a:lstStyle/>
        <a:p>
          <a:endParaRPr lang="bg-BG"/>
        </a:p>
      </dgm:t>
    </dgm:pt>
    <dgm:pt modelId="{C448B304-7559-43AC-BAE1-AA1C2B0E4566}">
      <dgm:prSet phldrT="[Text]" custT="1"/>
      <dgm:spPr>
        <a:solidFill>
          <a:srgbClr val="3399FF"/>
        </a:solidFill>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genetics'-epigenetics' interrelations</a:t>
          </a:r>
          <a:endParaRPr lang="bg-BG" sz="1200" b="1">
            <a:solidFill>
              <a:sysClr val="windowText" lastClr="000000"/>
            </a:solidFill>
            <a:latin typeface="Times New Roman" panose="02020603050405020304" pitchFamily="18" charset="0"/>
            <a:cs typeface="Times New Roman" panose="02020603050405020304" pitchFamily="18" charset="0"/>
          </a:endParaRPr>
        </a:p>
      </dgm:t>
    </dgm:pt>
    <dgm:pt modelId="{5B454891-010F-46FF-8737-8CAADED902D6}" type="parTrans" cxnId="{094D4112-CAD2-4AF0-B6D9-2DB9863A8E96}">
      <dgm:prSet/>
      <dgm:spPr>
        <a:solidFill>
          <a:schemeClr val="accent4">
            <a:lumMod val="20000"/>
            <a:lumOff val="80000"/>
          </a:schemeClr>
        </a:solidFill>
      </dgm:spPr>
      <dgm:t>
        <a:bodyPr/>
        <a:lstStyle/>
        <a:p>
          <a:endParaRPr lang="bg-BG"/>
        </a:p>
      </dgm:t>
    </dgm:pt>
    <dgm:pt modelId="{39397A13-B505-430E-916E-F670527FFD44}" type="sibTrans" cxnId="{094D4112-CAD2-4AF0-B6D9-2DB9863A8E96}">
      <dgm:prSet/>
      <dgm:spPr/>
      <dgm:t>
        <a:bodyPr/>
        <a:lstStyle/>
        <a:p>
          <a:endParaRPr lang="bg-BG"/>
        </a:p>
      </dgm:t>
    </dgm:pt>
    <dgm:pt modelId="{26ECD216-F45B-48D6-AD25-E17CAC21B3DA}" type="pres">
      <dgm:prSet presAssocID="{03012291-10AA-4243-8EF6-C3062404560A}" presName="Name0" presStyleCnt="0">
        <dgm:presLayoutVars>
          <dgm:chMax val="1"/>
          <dgm:dir/>
          <dgm:animLvl val="ctr"/>
          <dgm:resizeHandles val="exact"/>
        </dgm:presLayoutVars>
      </dgm:prSet>
      <dgm:spPr/>
      <dgm:t>
        <a:bodyPr/>
        <a:lstStyle/>
        <a:p>
          <a:endParaRPr lang="bg-BG"/>
        </a:p>
      </dgm:t>
    </dgm:pt>
    <dgm:pt modelId="{C98DBAFA-C189-4E72-9D1E-DEAE53414CE0}" type="pres">
      <dgm:prSet presAssocID="{CAF99453-EE2A-4178-9D71-06979AB726C5}" presName="centerShape" presStyleLbl="node0" presStyleIdx="0" presStyleCnt="1" custScaleX="244586" custScaleY="161580"/>
      <dgm:spPr/>
      <dgm:t>
        <a:bodyPr/>
        <a:lstStyle/>
        <a:p>
          <a:endParaRPr lang="bg-BG"/>
        </a:p>
      </dgm:t>
    </dgm:pt>
    <dgm:pt modelId="{7CC1226A-1B44-4034-984B-99DD105ACF04}" type="pres">
      <dgm:prSet presAssocID="{E695D738-9C2F-477C-9FDA-16351EDD4D2D}" presName="parTrans" presStyleLbl="sibTrans2D1" presStyleIdx="0" presStyleCnt="4" custAng="8775284" custFlipHor="1" custScaleX="983906" custScaleY="87181" custLinFactX="-600000" custLinFactNeighborX="-673820" custLinFactNeighborY="-61522"/>
      <dgm:spPr>
        <a:prstGeom prst="leftRightArrow">
          <a:avLst/>
        </a:prstGeom>
      </dgm:spPr>
      <dgm:t>
        <a:bodyPr/>
        <a:lstStyle/>
        <a:p>
          <a:endParaRPr lang="bg-BG"/>
        </a:p>
      </dgm:t>
    </dgm:pt>
    <dgm:pt modelId="{70F95C4E-BB93-4B0C-AD3D-361B743814BF}" type="pres">
      <dgm:prSet presAssocID="{E695D738-9C2F-477C-9FDA-16351EDD4D2D}" presName="connectorText" presStyleLbl="sibTrans2D1" presStyleIdx="0" presStyleCnt="4"/>
      <dgm:spPr/>
      <dgm:t>
        <a:bodyPr/>
        <a:lstStyle/>
        <a:p>
          <a:endParaRPr lang="bg-BG"/>
        </a:p>
      </dgm:t>
    </dgm:pt>
    <dgm:pt modelId="{FFC56422-0E52-443A-A68D-398733436DB0}" type="pres">
      <dgm:prSet presAssocID="{247F5A03-05D5-4B7A-A29D-D3870F030EAE}" presName="node" presStyleLbl="node1" presStyleIdx="0" presStyleCnt="4" custScaleX="140765" custRadScaleRad="102729" custRadScaleInc="45170">
        <dgm:presLayoutVars>
          <dgm:bulletEnabled val="1"/>
        </dgm:presLayoutVars>
      </dgm:prSet>
      <dgm:spPr/>
      <dgm:t>
        <a:bodyPr/>
        <a:lstStyle/>
        <a:p>
          <a:endParaRPr lang="bg-BG"/>
        </a:p>
      </dgm:t>
    </dgm:pt>
    <dgm:pt modelId="{FA95FEFA-19D4-4EFE-BCA3-A9E7A11CF65D}" type="pres">
      <dgm:prSet presAssocID="{4D08D338-8892-4415-9442-C0E40CBDA17B}" presName="parTrans" presStyleLbl="sibTrans2D1" presStyleIdx="1" presStyleCnt="4" custAng="18123470" custFlipHor="1" custScaleX="1177339" custScaleY="131562" custLinFactX="-300000" custLinFactY="-29446" custLinFactNeighborX="-301663" custLinFactNeighborY="-100000"/>
      <dgm:spPr>
        <a:prstGeom prst="upDownArrow">
          <a:avLst/>
        </a:prstGeom>
      </dgm:spPr>
      <dgm:t>
        <a:bodyPr/>
        <a:lstStyle/>
        <a:p>
          <a:endParaRPr lang="bg-BG"/>
        </a:p>
      </dgm:t>
    </dgm:pt>
    <dgm:pt modelId="{85BBC128-20FF-4111-8B51-2ED39866BB8D}" type="pres">
      <dgm:prSet presAssocID="{4D08D338-8892-4415-9442-C0E40CBDA17B}" presName="connectorText" presStyleLbl="sibTrans2D1" presStyleIdx="1" presStyleCnt="4"/>
      <dgm:spPr/>
      <dgm:t>
        <a:bodyPr/>
        <a:lstStyle/>
        <a:p>
          <a:endParaRPr lang="bg-BG"/>
        </a:p>
      </dgm:t>
    </dgm:pt>
    <dgm:pt modelId="{B56CBB7C-6324-4518-A759-BAB9E20CE7AF}" type="pres">
      <dgm:prSet presAssocID="{D6CE0EE0-330F-44D8-8E8D-43019C6E6D09}" presName="node" presStyleLbl="node1" presStyleIdx="1" presStyleCnt="4" custScaleX="169721" custRadScaleRad="146418" custRadScaleInc="-28735">
        <dgm:presLayoutVars>
          <dgm:bulletEnabled val="1"/>
        </dgm:presLayoutVars>
      </dgm:prSet>
      <dgm:spPr/>
      <dgm:t>
        <a:bodyPr/>
        <a:lstStyle/>
        <a:p>
          <a:endParaRPr lang="bg-BG"/>
        </a:p>
      </dgm:t>
    </dgm:pt>
    <dgm:pt modelId="{1F94B365-9349-45D7-98C8-77BC1EA77EF1}" type="pres">
      <dgm:prSet presAssocID="{3463FBB0-286D-45A9-96EB-E6AC5044B3E8}" presName="parTrans" presStyleLbl="sibTrans2D1" presStyleIdx="2" presStyleCnt="4" custScaleX="235376" custScaleY="98331" custLinFactX="82133" custLinFactNeighborX="100000" custLinFactNeighborY="50896"/>
      <dgm:spPr>
        <a:prstGeom prst="leftRightArrow">
          <a:avLst/>
        </a:prstGeom>
      </dgm:spPr>
      <dgm:t>
        <a:bodyPr/>
        <a:lstStyle/>
        <a:p>
          <a:endParaRPr lang="bg-BG"/>
        </a:p>
      </dgm:t>
    </dgm:pt>
    <dgm:pt modelId="{6C69ECF9-32A9-4E46-A103-5B49C66FA2DE}" type="pres">
      <dgm:prSet presAssocID="{3463FBB0-286D-45A9-96EB-E6AC5044B3E8}" presName="connectorText" presStyleLbl="sibTrans2D1" presStyleIdx="2" presStyleCnt="4"/>
      <dgm:spPr/>
      <dgm:t>
        <a:bodyPr/>
        <a:lstStyle/>
        <a:p>
          <a:endParaRPr lang="bg-BG"/>
        </a:p>
      </dgm:t>
    </dgm:pt>
    <dgm:pt modelId="{1298D5A7-5A93-49FD-A802-5B982D1EEACA}" type="pres">
      <dgm:prSet presAssocID="{D2836B28-49B5-4D89-AD15-313F0137073E}" presName="node" presStyleLbl="node1" presStyleIdx="2" presStyleCnt="4" custScaleX="179690" custRadScaleRad="145570" custRadScaleInc="114576">
        <dgm:presLayoutVars>
          <dgm:bulletEnabled val="1"/>
        </dgm:presLayoutVars>
      </dgm:prSet>
      <dgm:spPr/>
      <dgm:t>
        <a:bodyPr/>
        <a:lstStyle/>
        <a:p>
          <a:endParaRPr lang="bg-BG"/>
        </a:p>
      </dgm:t>
    </dgm:pt>
    <dgm:pt modelId="{BE9B1CC8-0B47-49A5-A66C-19082EA7E26F}" type="pres">
      <dgm:prSet presAssocID="{5B454891-010F-46FF-8737-8CAADED902D6}" presName="parTrans" presStyleLbl="sibTrans2D1" presStyleIdx="3" presStyleCnt="4" custScaleX="921170" custLinFactY="15620" custLinFactNeighborX="-35624" custLinFactNeighborY="100000"/>
      <dgm:spPr>
        <a:prstGeom prst="leftRightArrow">
          <a:avLst/>
        </a:prstGeom>
      </dgm:spPr>
      <dgm:t>
        <a:bodyPr/>
        <a:lstStyle/>
        <a:p>
          <a:endParaRPr lang="bg-BG"/>
        </a:p>
      </dgm:t>
    </dgm:pt>
    <dgm:pt modelId="{4D1EAC2C-7959-4BB7-8DDE-6242416BBFC7}" type="pres">
      <dgm:prSet presAssocID="{5B454891-010F-46FF-8737-8CAADED902D6}" presName="connectorText" presStyleLbl="sibTrans2D1" presStyleIdx="3" presStyleCnt="4"/>
      <dgm:spPr/>
      <dgm:t>
        <a:bodyPr/>
        <a:lstStyle/>
        <a:p>
          <a:endParaRPr lang="bg-BG"/>
        </a:p>
      </dgm:t>
    </dgm:pt>
    <dgm:pt modelId="{9FA4B2E3-FAB0-491D-9BD4-77A44F2C7E12}" type="pres">
      <dgm:prSet presAssocID="{C448B304-7559-43AC-BAE1-AA1C2B0E4566}" presName="node" presStyleLbl="node1" presStyleIdx="3" presStyleCnt="4" custScaleX="172776" custRadScaleRad="160814" custRadScaleInc="-3661">
        <dgm:presLayoutVars>
          <dgm:bulletEnabled val="1"/>
        </dgm:presLayoutVars>
      </dgm:prSet>
      <dgm:spPr/>
      <dgm:t>
        <a:bodyPr/>
        <a:lstStyle/>
        <a:p>
          <a:endParaRPr lang="bg-BG"/>
        </a:p>
      </dgm:t>
    </dgm:pt>
  </dgm:ptLst>
  <dgm:cxnLst>
    <dgm:cxn modelId="{6F7FB70F-17E8-43A0-8082-F983E4056134}" type="presOf" srcId="{CAF99453-EE2A-4178-9D71-06979AB726C5}" destId="{C98DBAFA-C189-4E72-9D1E-DEAE53414CE0}" srcOrd="0" destOrd="0" presId="urn:microsoft.com/office/officeart/2005/8/layout/radial5"/>
    <dgm:cxn modelId="{F39164C3-C764-4E3F-8D5E-457F9F52C7CE}" srcId="{03012291-10AA-4243-8EF6-C3062404560A}" destId="{CAF99453-EE2A-4178-9D71-06979AB726C5}" srcOrd="0" destOrd="0" parTransId="{D4223E36-7B92-430B-ABED-F36B7FAE7311}" sibTransId="{6557CEAD-6458-462B-8FF5-6C1D24B42010}"/>
    <dgm:cxn modelId="{10E80376-F274-48C4-9EB4-2F707E3476D9}" type="presOf" srcId="{D2836B28-49B5-4D89-AD15-313F0137073E}" destId="{1298D5A7-5A93-49FD-A802-5B982D1EEACA}" srcOrd="0" destOrd="0" presId="urn:microsoft.com/office/officeart/2005/8/layout/radial5"/>
    <dgm:cxn modelId="{E3C4CBF5-B29E-4817-9D47-2841790D0FD7}" type="presOf" srcId="{4D08D338-8892-4415-9442-C0E40CBDA17B}" destId="{FA95FEFA-19D4-4EFE-BCA3-A9E7A11CF65D}" srcOrd="0" destOrd="0" presId="urn:microsoft.com/office/officeart/2005/8/layout/radial5"/>
    <dgm:cxn modelId="{A39730FB-2F4B-4CCF-B3FE-872483631EF6}" srcId="{CAF99453-EE2A-4178-9D71-06979AB726C5}" destId="{D6CE0EE0-330F-44D8-8E8D-43019C6E6D09}" srcOrd="1" destOrd="0" parTransId="{4D08D338-8892-4415-9442-C0E40CBDA17B}" sibTransId="{77BC0464-5400-4A0F-8B43-E4051F209C76}"/>
    <dgm:cxn modelId="{5CFB40B1-B7FF-4109-8B05-31A84D1FF311}" type="presOf" srcId="{03012291-10AA-4243-8EF6-C3062404560A}" destId="{26ECD216-F45B-48D6-AD25-E17CAC21B3DA}" srcOrd="0" destOrd="0" presId="urn:microsoft.com/office/officeart/2005/8/layout/radial5"/>
    <dgm:cxn modelId="{5AE2219D-DB06-41CB-9F36-79D9D2F7E9AA}" srcId="{CAF99453-EE2A-4178-9D71-06979AB726C5}" destId="{247F5A03-05D5-4B7A-A29D-D3870F030EAE}" srcOrd="0" destOrd="0" parTransId="{E695D738-9C2F-477C-9FDA-16351EDD4D2D}" sibTransId="{4E01A3F8-17B2-413D-BD6B-41E9ED97BF9F}"/>
    <dgm:cxn modelId="{7F58FFF9-18D5-4AAC-B011-DC00341A1A07}" type="presOf" srcId="{D6CE0EE0-330F-44D8-8E8D-43019C6E6D09}" destId="{B56CBB7C-6324-4518-A759-BAB9E20CE7AF}" srcOrd="0" destOrd="0" presId="urn:microsoft.com/office/officeart/2005/8/layout/radial5"/>
    <dgm:cxn modelId="{D90465E2-BDEA-4C60-A821-CDFA37AA18B4}" type="presOf" srcId="{247F5A03-05D5-4B7A-A29D-D3870F030EAE}" destId="{FFC56422-0E52-443A-A68D-398733436DB0}" srcOrd="0" destOrd="0" presId="urn:microsoft.com/office/officeart/2005/8/layout/radial5"/>
    <dgm:cxn modelId="{589C54E6-86AE-4944-84B0-F4DB653BD6F0}" type="presOf" srcId="{4D08D338-8892-4415-9442-C0E40CBDA17B}" destId="{85BBC128-20FF-4111-8B51-2ED39866BB8D}" srcOrd="1" destOrd="0" presId="urn:microsoft.com/office/officeart/2005/8/layout/radial5"/>
    <dgm:cxn modelId="{327A6A14-2321-4BEE-A28A-4AEA735B38B1}" type="presOf" srcId="{3463FBB0-286D-45A9-96EB-E6AC5044B3E8}" destId="{6C69ECF9-32A9-4E46-A103-5B49C66FA2DE}" srcOrd="1" destOrd="0" presId="urn:microsoft.com/office/officeart/2005/8/layout/radial5"/>
    <dgm:cxn modelId="{D1C41FD0-BACF-4930-8173-A6D274D24043}" type="presOf" srcId="{5B454891-010F-46FF-8737-8CAADED902D6}" destId="{BE9B1CC8-0B47-49A5-A66C-19082EA7E26F}" srcOrd="0" destOrd="0" presId="urn:microsoft.com/office/officeart/2005/8/layout/radial5"/>
    <dgm:cxn modelId="{F9F26892-B7D4-4687-8CAC-8DDC3549CC16}" type="presOf" srcId="{5B454891-010F-46FF-8737-8CAADED902D6}" destId="{4D1EAC2C-7959-4BB7-8DDE-6242416BBFC7}" srcOrd="1" destOrd="0" presId="urn:microsoft.com/office/officeart/2005/8/layout/radial5"/>
    <dgm:cxn modelId="{F86645C8-BC54-47AD-87D7-876A50EABD67}" srcId="{CAF99453-EE2A-4178-9D71-06979AB726C5}" destId="{D2836B28-49B5-4D89-AD15-313F0137073E}" srcOrd="2" destOrd="0" parTransId="{3463FBB0-286D-45A9-96EB-E6AC5044B3E8}" sibTransId="{967D9D1E-4F81-48E4-A403-238C71C17180}"/>
    <dgm:cxn modelId="{9510F18B-F8FF-4550-90CD-5BD80828A46E}" type="presOf" srcId="{3463FBB0-286D-45A9-96EB-E6AC5044B3E8}" destId="{1F94B365-9349-45D7-98C8-77BC1EA77EF1}" srcOrd="0" destOrd="0" presId="urn:microsoft.com/office/officeart/2005/8/layout/radial5"/>
    <dgm:cxn modelId="{094D4112-CAD2-4AF0-B6D9-2DB9863A8E96}" srcId="{CAF99453-EE2A-4178-9D71-06979AB726C5}" destId="{C448B304-7559-43AC-BAE1-AA1C2B0E4566}" srcOrd="3" destOrd="0" parTransId="{5B454891-010F-46FF-8737-8CAADED902D6}" sibTransId="{39397A13-B505-430E-916E-F670527FFD44}"/>
    <dgm:cxn modelId="{FD88E4FF-1307-495A-B152-38B057D7383E}" type="presOf" srcId="{E695D738-9C2F-477C-9FDA-16351EDD4D2D}" destId="{70F95C4E-BB93-4B0C-AD3D-361B743814BF}" srcOrd="1" destOrd="0" presId="urn:microsoft.com/office/officeart/2005/8/layout/radial5"/>
    <dgm:cxn modelId="{509F5353-458E-4F43-9E9A-990C72CC5F45}" type="presOf" srcId="{E695D738-9C2F-477C-9FDA-16351EDD4D2D}" destId="{7CC1226A-1B44-4034-984B-99DD105ACF04}" srcOrd="0" destOrd="0" presId="urn:microsoft.com/office/officeart/2005/8/layout/radial5"/>
    <dgm:cxn modelId="{5CD03C6D-42ED-4236-8E75-DEC770B3C57F}" type="presOf" srcId="{C448B304-7559-43AC-BAE1-AA1C2B0E4566}" destId="{9FA4B2E3-FAB0-491D-9BD4-77A44F2C7E12}" srcOrd="0" destOrd="0" presId="urn:microsoft.com/office/officeart/2005/8/layout/radial5"/>
    <dgm:cxn modelId="{47649B21-A1AB-43C4-8CAF-92BF4A94FD75}" type="presParOf" srcId="{26ECD216-F45B-48D6-AD25-E17CAC21B3DA}" destId="{C98DBAFA-C189-4E72-9D1E-DEAE53414CE0}" srcOrd="0" destOrd="0" presId="urn:microsoft.com/office/officeart/2005/8/layout/radial5"/>
    <dgm:cxn modelId="{B914EE0D-8E3F-4EBE-9D94-8E735F52734D}" type="presParOf" srcId="{26ECD216-F45B-48D6-AD25-E17CAC21B3DA}" destId="{7CC1226A-1B44-4034-984B-99DD105ACF04}" srcOrd="1" destOrd="0" presId="urn:microsoft.com/office/officeart/2005/8/layout/radial5"/>
    <dgm:cxn modelId="{C141766B-B0EE-4236-8A18-75E48824C697}" type="presParOf" srcId="{7CC1226A-1B44-4034-984B-99DD105ACF04}" destId="{70F95C4E-BB93-4B0C-AD3D-361B743814BF}" srcOrd="0" destOrd="0" presId="urn:microsoft.com/office/officeart/2005/8/layout/radial5"/>
    <dgm:cxn modelId="{0542DC14-C1E7-4CC9-8C9C-70CB5325EB9F}" type="presParOf" srcId="{26ECD216-F45B-48D6-AD25-E17CAC21B3DA}" destId="{FFC56422-0E52-443A-A68D-398733436DB0}" srcOrd="2" destOrd="0" presId="urn:microsoft.com/office/officeart/2005/8/layout/radial5"/>
    <dgm:cxn modelId="{245E0D22-12DE-4110-A6F5-02123E10C9F2}" type="presParOf" srcId="{26ECD216-F45B-48D6-AD25-E17CAC21B3DA}" destId="{FA95FEFA-19D4-4EFE-BCA3-A9E7A11CF65D}" srcOrd="3" destOrd="0" presId="urn:microsoft.com/office/officeart/2005/8/layout/radial5"/>
    <dgm:cxn modelId="{39503AFA-53AC-47D6-8306-C402837274A1}" type="presParOf" srcId="{FA95FEFA-19D4-4EFE-BCA3-A9E7A11CF65D}" destId="{85BBC128-20FF-4111-8B51-2ED39866BB8D}" srcOrd="0" destOrd="0" presId="urn:microsoft.com/office/officeart/2005/8/layout/radial5"/>
    <dgm:cxn modelId="{1837D4B5-EA31-4BD3-A4BC-85BAACEB074F}" type="presParOf" srcId="{26ECD216-F45B-48D6-AD25-E17CAC21B3DA}" destId="{B56CBB7C-6324-4518-A759-BAB9E20CE7AF}" srcOrd="4" destOrd="0" presId="urn:microsoft.com/office/officeart/2005/8/layout/radial5"/>
    <dgm:cxn modelId="{8F222426-9426-4667-A535-4DE30A7726A0}" type="presParOf" srcId="{26ECD216-F45B-48D6-AD25-E17CAC21B3DA}" destId="{1F94B365-9349-45D7-98C8-77BC1EA77EF1}" srcOrd="5" destOrd="0" presId="urn:microsoft.com/office/officeart/2005/8/layout/radial5"/>
    <dgm:cxn modelId="{20610E84-9E75-4F0D-A1AD-53D391C86D42}" type="presParOf" srcId="{1F94B365-9349-45D7-98C8-77BC1EA77EF1}" destId="{6C69ECF9-32A9-4E46-A103-5B49C66FA2DE}" srcOrd="0" destOrd="0" presId="urn:microsoft.com/office/officeart/2005/8/layout/radial5"/>
    <dgm:cxn modelId="{9E86FFB9-8A2A-448F-94BC-FA7623A486C3}" type="presParOf" srcId="{26ECD216-F45B-48D6-AD25-E17CAC21B3DA}" destId="{1298D5A7-5A93-49FD-A802-5B982D1EEACA}" srcOrd="6" destOrd="0" presId="urn:microsoft.com/office/officeart/2005/8/layout/radial5"/>
    <dgm:cxn modelId="{57954C17-1EFC-41F8-BEC1-6E8DA6839A72}" type="presParOf" srcId="{26ECD216-F45B-48D6-AD25-E17CAC21B3DA}" destId="{BE9B1CC8-0B47-49A5-A66C-19082EA7E26F}" srcOrd="7" destOrd="0" presId="urn:microsoft.com/office/officeart/2005/8/layout/radial5"/>
    <dgm:cxn modelId="{CEB31497-025E-40DA-81C3-B3114B7D91BF}" type="presParOf" srcId="{BE9B1CC8-0B47-49A5-A66C-19082EA7E26F}" destId="{4D1EAC2C-7959-4BB7-8DDE-6242416BBFC7}" srcOrd="0" destOrd="0" presId="urn:microsoft.com/office/officeart/2005/8/layout/radial5"/>
    <dgm:cxn modelId="{8BE94215-92A6-45C2-B2B3-4E75D8119C57}" type="presParOf" srcId="{26ECD216-F45B-48D6-AD25-E17CAC21B3DA}" destId="{9FA4B2E3-FAB0-491D-9BD4-77A44F2C7E12}" srcOrd="8" destOrd="0" presId="urn:microsoft.com/office/officeart/2005/8/layout/radial5"/>
  </dgm:cxnLst>
  <dgm:bg>
    <a:solidFill>
      <a:schemeClr val="bg1">
        <a:lumMod val="50000"/>
      </a:schemeClr>
    </a:solidFill>
  </dgm:bg>
  <dgm:whole>
    <a:ln>
      <a:solidFill>
        <a:schemeClr val="tx1"/>
      </a:solidFill>
    </a:ln>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8DBAFA-C189-4E72-9D1E-DEAE53414CE0}">
      <dsp:nvSpPr>
        <dsp:cNvPr id="0" name=""/>
        <dsp:cNvSpPr/>
      </dsp:nvSpPr>
      <dsp:spPr>
        <a:xfrm>
          <a:off x="1815375" y="1085524"/>
          <a:ext cx="2423232" cy="1600851"/>
        </a:xfrm>
        <a:prstGeom prst="ellipse">
          <a:avLst/>
        </a:prstGeom>
        <a:solidFill>
          <a:srgbClr val="FF0000"/>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solidFill>
                <a:schemeClr val="tx1"/>
              </a:solidFill>
              <a:latin typeface="Times New Roman" panose="02020603050405020304" pitchFamily="18" charset="0"/>
              <a:cs typeface="Times New Roman" panose="02020603050405020304" pitchFamily="18" charset="0"/>
            </a:rPr>
            <a:t>metabolic disorder of obesity in children and oral-dental health</a:t>
          </a:r>
          <a:endParaRPr lang="bg-BG" sz="1400" b="1" kern="1200">
            <a:solidFill>
              <a:schemeClr val="tx1"/>
            </a:solidFill>
            <a:latin typeface="Times New Roman" panose="02020603050405020304" pitchFamily="18" charset="0"/>
            <a:cs typeface="Times New Roman" panose="02020603050405020304" pitchFamily="18" charset="0"/>
          </a:endParaRPr>
        </a:p>
      </dsp:txBody>
      <dsp:txXfrm>
        <a:off x="2170249" y="1319963"/>
        <a:ext cx="1713484" cy="1131973"/>
      </dsp:txXfrm>
    </dsp:sp>
    <dsp:sp modelId="{7CC1226A-1B44-4034-984B-99DD105ACF04}">
      <dsp:nvSpPr>
        <dsp:cNvPr id="0" name=""/>
        <dsp:cNvSpPr/>
      </dsp:nvSpPr>
      <dsp:spPr>
        <a:xfrm rot="17005126" flipH="1">
          <a:off x="2526596" y="715373"/>
          <a:ext cx="447360" cy="293673"/>
        </a:xfrm>
        <a:prstGeom prst="leftRightArrow">
          <a:avLst/>
        </a:prstGeom>
        <a:solidFill>
          <a:schemeClr val="accent4">
            <a:lumMod val="20000"/>
            <a:lumOff val="8000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bg-BG" sz="1200" kern="1200"/>
        </a:p>
      </dsp:txBody>
      <dsp:txXfrm>
        <a:off x="2580870" y="731260"/>
        <a:ext cx="359258" cy="176203"/>
      </dsp:txXfrm>
    </dsp:sp>
    <dsp:sp modelId="{FFC56422-0E52-443A-A68D-398733436DB0}">
      <dsp:nvSpPr>
        <dsp:cNvPr id="0" name=""/>
        <dsp:cNvSpPr/>
      </dsp:nvSpPr>
      <dsp:spPr>
        <a:xfrm>
          <a:off x="2824949" y="53582"/>
          <a:ext cx="1394627" cy="990748"/>
        </a:xfrm>
        <a:prstGeom prst="ellipse">
          <a:avLst/>
        </a:prstGeom>
        <a:solidFill>
          <a:srgbClr val="FFFF00"/>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risk factors for oral diseases</a:t>
          </a:r>
          <a:endParaRPr lang="bg-BG" sz="1200" b="1" kern="1200">
            <a:solidFill>
              <a:sysClr val="windowText" lastClr="000000"/>
            </a:solidFill>
            <a:latin typeface="Times New Roman" panose="02020603050405020304" pitchFamily="18" charset="0"/>
            <a:cs typeface="Times New Roman" panose="02020603050405020304" pitchFamily="18" charset="0"/>
          </a:endParaRPr>
        </a:p>
      </dsp:txBody>
      <dsp:txXfrm>
        <a:off x="3029187" y="198674"/>
        <a:ext cx="986151" cy="700564"/>
      </dsp:txXfrm>
    </dsp:sp>
    <dsp:sp modelId="{FA95FEFA-19D4-4EFE-BCA3-A9E7A11CF65D}">
      <dsp:nvSpPr>
        <dsp:cNvPr id="0" name=""/>
        <dsp:cNvSpPr/>
      </dsp:nvSpPr>
      <dsp:spPr>
        <a:xfrm rot="4252375" flipH="1">
          <a:off x="3855545" y="959679"/>
          <a:ext cx="337774" cy="443172"/>
        </a:xfrm>
        <a:prstGeom prst="upDownArrow">
          <a:avLst/>
        </a:prstGeom>
        <a:solidFill>
          <a:schemeClr val="accent4">
            <a:lumMod val="20000"/>
            <a:lumOff val="8000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44550">
            <a:lnSpc>
              <a:spcPct val="90000"/>
            </a:lnSpc>
            <a:spcBef>
              <a:spcPct val="0"/>
            </a:spcBef>
            <a:spcAft>
              <a:spcPct val="35000"/>
            </a:spcAft>
          </a:pPr>
          <a:endParaRPr lang="bg-BG" sz="1900" kern="1200"/>
        </a:p>
      </dsp:txBody>
      <dsp:txXfrm>
        <a:off x="3922812" y="1096182"/>
        <a:ext cx="236442" cy="265904"/>
      </dsp:txXfrm>
    </dsp:sp>
    <dsp:sp modelId="{B56CBB7C-6324-4518-A759-BAB9E20CE7AF}">
      <dsp:nvSpPr>
        <dsp:cNvPr id="0" name=""/>
        <dsp:cNvSpPr/>
      </dsp:nvSpPr>
      <dsp:spPr>
        <a:xfrm>
          <a:off x="4166844" y="935837"/>
          <a:ext cx="1681508" cy="990748"/>
        </a:xfrm>
        <a:prstGeom prst="ellipse">
          <a:avLst/>
        </a:prstGeom>
        <a:solidFill>
          <a:srgbClr val="FF9966"/>
        </a:solidFill>
        <a:ln>
          <a:solidFill>
            <a:schemeClr val="bg1"/>
          </a:solid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predisposing conditions for obesity</a:t>
          </a:r>
          <a:endParaRPr lang="bg-BG" sz="1200" b="1" kern="1200">
            <a:solidFill>
              <a:sysClr val="windowText" lastClr="000000"/>
            </a:solidFill>
            <a:latin typeface="Times New Roman" panose="02020603050405020304" pitchFamily="18" charset="0"/>
            <a:cs typeface="Times New Roman" panose="02020603050405020304" pitchFamily="18" charset="0"/>
          </a:endParaRPr>
        </a:p>
      </dsp:txBody>
      <dsp:txXfrm>
        <a:off x="4413095" y="1080929"/>
        <a:ext cx="1189006" cy="700564"/>
      </dsp:txXfrm>
    </dsp:sp>
    <dsp:sp modelId="{1F94B365-9349-45D7-98C8-77BC1EA77EF1}">
      <dsp:nvSpPr>
        <dsp:cNvPr id="0" name=""/>
        <dsp:cNvSpPr/>
      </dsp:nvSpPr>
      <dsp:spPr>
        <a:xfrm rot="8493552">
          <a:off x="2237411" y="2621092"/>
          <a:ext cx="472027" cy="331232"/>
        </a:xfrm>
        <a:prstGeom prst="leftRightArrow">
          <a:avLst/>
        </a:prstGeom>
        <a:solidFill>
          <a:schemeClr val="accent4">
            <a:lumMod val="20000"/>
            <a:lumOff val="8000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bg-BG" sz="1400" kern="1200"/>
        </a:p>
      </dsp:txBody>
      <dsp:txXfrm rot="10800000">
        <a:off x="2326012" y="2656449"/>
        <a:ext cx="372657" cy="198740"/>
      </dsp:txXfrm>
    </dsp:sp>
    <dsp:sp modelId="{1298D5A7-5A93-49FD-A802-5B982D1EEACA}">
      <dsp:nvSpPr>
        <dsp:cNvPr id="0" name=""/>
        <dsp:cNvSpPr/>
      </dsp:nvSpPr>
      <dsp:spPr>
        <a:xfrm>
          <a:off x="554396" y="2646651"/>
          <a:ext cx="1780276" cy="990748"/>
        </a:xfrm>
        <a:prstGeom prst="ellipse">
          <a:avLst/>
        </a:prstGeom>
        <a:solidFill>
          <a:srgbClr val="CC0099"/>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solidFill>
              <a:latin typeface="Times New Roman" panose="02020603050405020304" pitchFamily="18" charset="0"/>
              <a:cs typeface="Times New Roman" panose="02020603050405020304" pitchFamily="18" charset="0"/>
            </a:rPr>
            <a:t>immune system's functionality and autoimmune diseases</a:t>
          </a:r>
          <a:endParaRPr lang="bg-BG" sz="1100" b="1" kern="1200">
            <a:solidFill>
              <a:sysClr val="windowText" lastClr="000000"/>
            </a:solidFill>
            <a:latin typeface="Times New Roman" panose="02020603050405020304" pitchFamily="18" charset="0"/>
            <a:cs typeface="Times New Roman" panose="02020603050405020304" pitchFamily="18" charset="0"/>
          </a:endParaRPr>
        </a:p>
      </dsp:txBody>
      <dsp:txXfrm>
        <a:off x="815111" y="2791743"/>
        <a:ext cx="1258846" cy="700564"/>
      </dsp:txXfrm>
    </dsp:sp>
    <dsp:sp modelId="{BE9B1CC8-0B47-49A5-A66C-19082EA7E26F}">
      <dsp:nvSpPr>
        <dsp:cNvPr id="0" name=""/>
        <dsp:cNvSpPr/>
      </dsp:nvSpPr>
      <dsp:spPr>
        <a:xfrm rot="10698427">
          <a:off x="1486522" y="2144285"/>
          <a:ext cx="517366" cy="336854"/>
        </a:xfrm>
        <a:prstGeom prst="leftRightArrow">
          <a:avLst/>
        </a:prstGeom>
        <a:solidFill>
          <a:schemeClr val="accent4">
            <a:lumMod val="20000"/>
            <a:lumOff val="8000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bg-BG" sz="1400" kern="1200"/>
        </a:p>
      </dsp:txBody>
      <dsp:txXfrm rot="10800000">
        <a:off x="1587556" y="2210163"/>
        <a:ext cx="416310" cy="202112"/>
      </dsp:txXfrm>
    </dsp:sp>
    <dsp:sp modelId="{9FA4B2E3-FAB0-491D-9BD4-77A44F2C7E12}">
      <dsp:nvSpPr>
        <dsp:cNvPr id="0" name=""/>
        <dsp:cNvSpPr/>
      </dsp:nvSpPr>
      <dsp:spPr>
        <a:xfrm>
          <a:off x="0" y="1454742"/>
          <a:ext cx="1711776" cy="990748"/>
        </a:xfrm>
        <a:prstGeom prst="ellipse">
          <a:avLst/>
        </a:prstGeom>
        <a:solidFill>
          <a:srgbClr val="3399FF"/>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Times New Roman" panose="02020603050405020304" pitchFamily="18" charset="0"/>
              <a:cs typeface="Times New Roman" panose="02020603050405020304" pitchFamily="18" charset="0"/>
            </a:rPr>
            <a:t>genetics'-epigenetics' interrelations</a:t>
          </a:r>
          <a:endParaRPr lang="bg-BG" sz="1200" b="1" kern="1200">
            <a:solidFill>
              <a:sysClr val="windowText" lastClr="000000"/>
            </a:solidFill>
            <a:latin typeface="Times New Roman" panose="02020603050405020304" pitchFamily="18" charset="0"/>
            <a:cs typeface="Times New Roman" panose="02020603050405020304" pitchFamily="18" charset="0"/>
          </a:endParaRPr>
        </a:p>
      </dsp:txBody>
      <dsp:txXfrm>
        <a:off x="250684" y="1599834"/>
        <a:ext cx="1210408" cy="700564"/>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9B65E-802F-4575-8944-F696BC652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3</Pages>
  <Words>1628</Words>
  <Characters>9282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300</cp:revision>
  <dcterms:created xsi:type="dcterms:W3CDTF">2021-02-15T07:38:00Z</dcterms:created>
  <dcterms:modified xsi:type="dcterms:W3CDTF">2021-02-23T13:10:00Z</dcterms:modified>
</cp:coreProperties>
</file>