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F96" w:rsidRPr="00643F96" w:rsidRDefault="00643F96" w:rsidP="006224DE">
      <w:pPr>
        <w:bidi w:val="0"/>
        <w:rPr>
          <w:rFonts w:ascii="Times New Roman" w:hAnsi="Times New Roman" w:cs="Times New Roman"/>
          <w:b/>
          <w:bCs/>
          <w:sz w:val="20"/>
          <w:szCs w:val="20"/>
          <w:lang w:bidi="ar-IQ"/>
        </w:rPr>
      </w:pPr>
      <w:r w:rsidRPr="00643F96">
        <w:rPr>
          <w:rFonts w:asciiTheme="majorBidi" w:hAnsiTheme="majorBidi" w:cstheme="majorBidi"/>
          <w:b/>
          <w:bCs/>
          <w:sz w:val="28"/>
          <w:szCs w:val="28"/>
        </w:rPr>
        <w:t xml:space="preserve">Title: </w:t>
      </w:r>
      <w:r w:rsidR="00343FBE" w:rsidRPr="00643F96">
        <w:rPr>
          <w:rFonts w:asciiTheme="majorBidi" w:hAnsiTheme="majorBidi" w:cstheme="majorBidi"/>
          <w:b/>
          <w:bCs/>
          <w:sz w:val="28"/>
          <w:szCs w:val="28"/>
        </w:rPr>
        <w:t>Some consideration</w:t>
      </w:r>
      <w:r w:rsidR="006224DE"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="00343FBE" w:rsidRPr="00643F96">
        <w:rPr>
          <w:rFonts w:asciiTheme="majorBidi" w:hAnsiTheme="majorBidi" w:cstheme="majorBidi"/>
          <w:b/>
          <w:bCs/>
          <w:sz w:val="28"/>
          <w:szCs w:val="28"/>
        </w:rPr>
        <w:t>about antioxidant activity for Probiotics</w:t>
      </w:r>
    </w:p>
    <w:p w:rsidR="00643F96" w:rsidRPr="00BF4519" w:rsidRDefault="00D76CC9" w:rsidP="00643F96">
      <w:pPr>
        <w:jc w:val="right"/>
        <w:rPr>
          <w:rFonts w:ascii="Times New Roman" w:hAnsi="Times New Roman" w:cs="Times New Roman"/>
          <w:b/>
          <w:bCs/>
          <w:sz w:val="20"/>
          <w:szCs w:val="20"/>
          <w:lang w:bidi="ar-IQ"/>
        </w:rPr>
      </w:pPr>
      <w:r w:rsidRPr="00BF4519">
        <w:rPr>
          <w:rFonts w:ascii="Times New Roman" w:hAnsi="Times New Roman" w:cs="Times New Roman"/>
          <w:b/>
          <w:bCs/>
          <w:sz w:val="20"/>
          <w:szCs w:val="20"/>
          <w:lang w:bidi="ar-IQ"/>
        </w:rPr>
        <w:t>Samer M. Al-Hulu</w:t>
      </w:r>
    </w:p>
    <w:p w:rsidR="00643F96" w:rsidRDefault="002052D6" w:rsidP="002052D6">
      <w:pPr>
        <w:tabs>
          <w:tab w:val="left" w:pos="4975"/>
        </w:tabs>
        <w:spacing w:after="0"/>
        <w:jc w:val="right"/>
        <w:rPr>
          <w:rFonts w:ascii="Times New Roman" w:hAnsi="Times New Roman" w:cs="Times New Roman"/>
          <w:b/>
          <w:bCs/>
          <w:sz w:val="20"/>
          <w:szCs w:val="20"/>
          <w:lang w:bidi="ar-IQ"/>
        </w:rPr>
      </w:pPr>
      <w:r w:rsidRPr="00643F96">
        <w:rPr>
          <w:rFonts w:ascii="Times New Roman" w:hAnsi="Times New Roman" w:cs="Times New Roman"/>
          <w:b/>
          <w:bCs/>
          <w:sz w:val="20"/>
          <w:szCs w:val="20"/>
          <w:lang w:bidi="ar-IQ"/>
        </w:rPr>
        <w:t xml:space="preserve"> </w:t>
      </w:r>
    </w:p>
    <w:p w:rsidR="00D76CC9" w:rsidRPr="00643F96" w:rsidRDefault="00643F96" w:rsidP="00651213">
      <w:pPr>
        <w:tabs>
          <w:tab w:val="left" w:pos="4975"/>
        </w:tabs>
        <w:spacing w:after="0"/>
        <w:jc w:val="right"/>
        <w:rPr>
          <w:rFonts w:ascii="Times New Roman" w:hAnsi="Times New Roman" w:cs="Times New Roman"/>
          <w:b/>
          <w:bCs/>
          <w:sz w:val="20"/>
          <w:szCs w:val="20"/>
          <w:lang w:bidi="ar-IQ"/>
        </w:rPr>
      </w:pPr>
      <w:r>
        <w:rPr>
          <w:rFonts w:ascii="Times New Roman" w:hAnsi="Times New Roman" w:cs="Times New Roman"/>
          <w:b/>
          <w:bCs/>
          <w:sz w:val="20"/>
          <w:szCs w:val="20"/>
          <w:lang w:bidi="ar-IQ"/>
        </w:rPr>
        <w:t>Department of Ecology, Environmental  Sciences</w:t>
      </w:r>
      <w:r w:rsidR="00651213">
        <w:rPr>
          <w:rFonts w:ascii="Times New Roman" w:hAnsi="Times New Roman" w:cs="Times New Roman"/>
          <w:b/>
          <w:bCs/>
          <w:sz w:val="20"/>
          <w:szCs w:val="20"/>
          <w:lang w:bidi="ar-IQ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bidi="ar-IQ"/>
        </w:rPr>
        <w:t>College</w:t>
      </w:r>
      <w:r w:rsidR="00651213">
        <w:rPr>
          <w:rFonts w:ascii="Times New Roman" w:hAnsi="Times New Roman" w:cs="Times New Roman"/>
          <w:b/>
          <w:bCs/>
          <w:sz w:val="20"/>
          <w:szCs w:val="20"/>
          <w:lang w:bidi="ar-IQ"/>
        </w:rPr>
        <w:t>,</w:t>
      </w:r>
      <w:r>
        <w:rPr>
          <w:rFonts w:ascii="Times New Roman" w:hAnsi="Times New Roman" w:cs="Times New Roman"/>
          <w:b/>
          <w:bCs/>
          <w:sz w:val="20"/>
          <w:szCs w:val="20"/>
          <w:lang w:bidi="ar-IQ"/>
        </w:rPr>
        <w:t xml:space="preserve"> </w:t>
      </w:r>
      <w:r w:rsidR="00D76CC9" w:rsidRPr="00643F96">
        <w:rPr>
          <w:rFonts w:ascii="Times New Roman" w:hAnsi="Times New Roman" w:cs="Times New Roman"/>
          <w:b/>
          <w:bCs/>
          <w:sz w:val="20"/>
          <w:szCs w:val="20"/>
          <w:lang w:bidi="ar-IQ"/>
        </w:rPr>
        <w:t>Al-Qasim</w:t>
      </w:r>
      <w:bookmarkStart w:id="0" w:name="_GoBack"/>
      <w:bookmarkEnd w:id="0"/>
      <w:r w:rsidR="00D76CC9" w:rsidRPr="00643F96">
        <w:rPr>
          <w:rFonts w:ascii="Times New Roman" w:hAnsi="Times New Roman" w:cs="Times New Roman"/>
          <w:b/>
          <w:bCs/>
          <w:sz w:val="20"/>
          <w:szCs w:val="20"/>
          <w:lang w:bidi="ar-IQ"/>
        </w:rPr>
        <w:t xml:space="preserve"> Green University / Iraq</w:t>
      </w:r>
    </w:p>
    <w:p w:rsidR="00643F96" w:rsidRDefault="00643F96" w:rsidP="00A75719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0"/>
          <w:szCs w:val="20"/>
          <w:rtl/>
        </w:rPr>
      </w:pPr>
    </w:p>
    <w:p w:rsidR="00A75719" w:rsidRPr="00643F96" w:rsidRDefault="008860E0" w:rsidP="00643F96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0"/>
          <w:szCs w:val="20"/>
        </w:rPr>
      </w:pPr>
      <w:r w:rsidRPr="00643F96">
        <w:rPr>
          <w:rFonts w:asciiTheme="majorBidi" w:hAnsiTheme="majorBidi" w:cstheme="majorBidi"/>
          <w:b/>
          <w:bCs/>
          <w:sz w:val="20"/>
          <w:szCs w:val="20"/>
        </w:rPr>
        <w:t>A</w:t>
      </w:r>
      <w:r w:rsidR="00DD2F02" w:rsidRPr="00643F96">
        <w:rPr>
          <w:rFonts w:asciiTheme="majorBidi" w:hAnsiTheme="majorBidi" w:cstheme="majorBidi"/>
          <w:b/>
          <w:bCs/>
          <w:sz w:val="20"/>
          <w:szCs w:val="20"/>
        </w:rPr>
        <w:t>bstract:</w:t>
      </w:r>
    </w:p>
    <w:p w:rsidR="008860E0" w:rsidRDefault="008860E0" w:rsidP="008860E0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5D0EBA" w:rsidRPr="00701C74" w:rsidRDefault="00212022" w:rsidP="008860E0">
      <w:pPr>
        <w:autoSpaceDE w:val="0"/>
        <w:autoSpaceDN w:val="0"/>
        <w:bidi w:val="0"/>
        <w:adjustRightInd w:val="0"/>
        <w:spacing w:before="240"/>
        <w:contextualSpacing/>
        <w:jc w:val="both"/>
        <w:rPr>
          <w:rFonts w:asciiTheme="majorBidi" w:hAnsiTheme="majorBidi" w:cstheme="majorBidi"/>
          <w:sz w:val="18"/>
          <w:szCs w:val="18"/>
        </w:rPr>
      </w:pPr>
      <w:r w:rsidRPr="00701C74">
        <w:rPr>
          <w:rFonts w:asciiTheme="majorBidi" w:hAnsiTheme="majorBidi" w:cstheme="majorBidi"/>
          <w:sz w:val="18"/>
          <w:szCs w:val="18"/>
        </w:rPr>
        <w:t>Probiotics are defined as ‘live  microorganisms when administered in adequate amounts confer a health benefit  on the host. Reactive oxygen metabolites (ROM) generated through normal reactions within the body during respiration in aerobic organisms</w:t>
      </w:r>
      <w:r w:rsidR="00D64C45" w:rsidRPr="00701C74">
        <w:rPr>
          <w:rFonts w:asciiTheme="majorBidi" w:hAnsiTheme="majorBidi" w:cstheme="majorBidi"/>
          <w:sz w:val="18"/>
          <w:szCs w:val="18"/>
        </w:rPr>
        <w:t xml:space="preserve">, which </w:t>
      </w:r>
      <w:r w:rsidRPr="00701C74">
        <w:rPr>
          <w:rFonts w:asciiTheme="majorBidi" w:hAnsiTheme="majorBidi" w:cstheme="majorBidi"/>
          <w:sz w:val="18"/>
          <w:szCs w:val="18"/>
        </w:rPr>
        <w:t>cause damage in proteins, mutations in DNA, oxidation of membrane phospholipids, and modification in low density lipoproteins.</w:t>
      </w:r>
      <w:r w:rsidR="007A7C70" w:rsidRPr="00701C74">
        <w:rPr>
          <w:rFonts w:asciiTheme="majorBidi" w:hAnsiTheme="majorBidi" w:cstheme="majorBidi"/>
          <w:sz w:val="18"/>
          <w:szCs w:val="18"/>
        </w:rPr>
        <w:t xml:space="preserve"> The excessive amount of ROM can result in cellular damage which, in turn, promotes</w:t>
      </w:r>
      <w:r w:rsidR="00D64C45" w:rsidRPr="00701C74">
        <w:rPr>
          <w:rFonts w:asciiTheme="majorBidi" w:hAnsiTheme="majorBidi" w:cstheme="majorBidi"/>
          <w:sz w:val="18"/>
          <w:szCs w:val="18"/>
        </w:rPr>
        <w:t xml:space="preserve"> some</w:t>
      </w:r>
      <w:r w:rsidR="007A7C70" w:rsidRPr="00701C74">
        <w:rPr>
          <w:rFonts w:asciiTheme="majorBidi" w:hAnsiTheme="majorBidi" w:cstheme="majorBidi"/>
          <w:sz w:val="18"/>
          <w:szCs w:val="18"/>
        </w:rPr>
        <w:t xml:space="preserve"> chronic diseases</w:t>
      </w:r>
      <w:r w:rsidR="00D64C45" w:rsidRPr="00701C74">
        <w:rPr>
          <w:rFonts w:asciiTheme="majorBidi" w:hAnsiTheme="majorBidi" w:cstheme="majorBidi"/>
          <w:sz w:val="18"/>
          <w:szCs w:val="18"/>
        </w:rPr>
        <w:t xml:space="preserve">. </w:t>
      </w:r>
      <w:r w:rsidR="005513C5" w:rsidRPr="00701C74">
        <w:rPr>
          <w:rFonts w:asciiTheme="majorBidi" w:hAnsiTheme="majorBidi" w:cstheme="majorBidi"/>
          <w:sz w:val="18"/>
          <w:szCs w:val="18"/>
        </w:rPr>
        <w:t>probiotics having ability to protection against oxidative stress and the capability to decrease the risk of accumulation of ROM</w:t>
      </w:r>
      <w:r w:rsidR="005513C5" w:rsidRPr="00701C74">
        <w:rPr>
          <w:rFonts w:asciiTheme="majorBidi" w:hAnsiTheme="majorBidi" w:cstheme="majorBidi"/>
          <w:b/>
          <w:bCs/>
          <w:sz w:val="18"/>
          <w:szCs w:val="18"/>
          <w:lang w:bidi="ar-IQ"/>
        </w:rPr>
        <w:t>.</w:t>
      </w:r>
      <w:r w:rsidR="005513C5" w:rsidRPr="00701C74">
        <w:rPr>
          <w:rFonts w:asciiTheme="majorBidi" w:hAnsiTheme="majorBidi" w:cstheme="majorBidi"/>
          <w:sz w:val="18"/>
          <w:szCs w:val="18"/>
        </w:rPr>
        <w:t xml:space="preserve"> The antioxidant mechanisms of probiotics could be assigned to ROS scavenging, metal ion chelation, enzyme inhibition, and to the reduction activity and inhibition of ascorbate autoxidation</w:t>
      </w:r>
      <w:r w:rsidR="00D64C45" w:rsidRPr="00701C74">
        <w:rPr>
          <w:rFonts w:asciiTheme="majorBidi" w:hAnsiTheme="majorBidi" w:cstheme="majorBidi"/>
          <w:sz w:val="18"/>
          <w:szCs w:val="18"/>
        </w:rPr>
        <w:t>.</w:t>
      </w:r>
      <w:r w:rsidR="00230E01" w:rsidRPr="00701C74">
        <w:rPr>
          <w:rFonts w:asciiTheme="majorBidi" w:hAnsiTheme="majorBidi" w:cstheme="majorBidi"/>
          <w:sz w:val="18"/>
          <w:szCs w:val="18"/>
        </w:rPr>
        <w:t xml:space="preserve"> Antioxidant Signaling Pathway mediated by Probiotic Bacteria </w:t>
      </w:r>
      <w:r w:rsidR="00D64C45" w:rsidRPr="00701C74">
        <w:rPr>
          <w:rFonts w:asciiTheme="majorBidi" w:hAnsiTheme="majorBidi" w:cstheme="majorBidi"/>
          <w:sz w:val="18"/>
          <w:szCs w:val="18"/>
        </w:rPr>
        <w:t>,</w:t>
      </w:r>
      <w:r w:rsidR="00230E01" w:rsidRPr="00701C74">
        <w:rPr>
          <w:rFonts w:asciiTheme="majorBidi" w:hAnsiTheme="majorBidi" w:cstheme="majorBidi"/>
          <w:sz w:val="18"/>
          <w:szCs w:val="18"/>
        </w:rPr>
        <w:t xml:space="preserve"> Nrf2-Keap1-ARE, NF</w:t>
      </w:r>
      <m:oMath>
        <m:r>
          <m:rPr>
            <m:sty m:val="p"/>
          </m:rPr>
          <w:rPr>
            <w:rFonts w:asciiTheme="majorBidi" w:hAnsiTheme="majorBidi" w:cstheme="majorBidi"/>
            <w:sz w:val="18"/>
            <w:szCs w:val="18"/>
            <w:rtl/>
            <w:lang w:bidi="ar-IQ"/>
          </w:rPr>
          <m:t>k</m:t>
        </m:r>
      </m:oMath>
      <w:r w:rsidR="00230E01" w:rsidRPr="00701C74">
        <w:rPr>
          <w:rFonts w:asciiTheme="majorBidi" w:hAnsiTheme="majorBidi" w:cstheme="majorBidi"/>
          <w:sz w:val="18"/>
          <w:szCs w:val="18"/>
        </w:rPr>
        <w:t xml:space="preserve">B , MAPK, and </w:t>
      </w:r>
      <w:r w:rsidR="00230E01" w:rsidRPr="00701C74">
        <w:rPr>
          <w:rFonts w:asciiTheme="majorBidi" w:hAnsiTheme="majorBidi" w:cstheme="majorBidi"/>
          <w:color w:val="000000"/>
          <w:sz w:val="18"/>
          <w:szCs w:val="18"/>
        </w:rPr>
        <w:t>PKC</w:t>
      </w:r>
      <w:r w:rsidR="00230E01" w:rsidRPr="00701C74">
        <w:rPr>
          <w:rFonts w:asciiTheme="majorBidi" w:hAnsiTheme="majorBidi" w:cstheme="majorBidi"/>
          <w:b/>
          <w:bCs/>
          <w:color w:val="000000"/>
          <w:sz w:val="18"/>
          <w:szCs w:val="18"/>
        </w:rPr>
        <w:t>.</w:t>
      </w:r>
      <w:r w:rsidR="00D64C45" w:rsidRPr="00701C74">
        <w:rPr>
          <w:rFonts w:asciiTheme="majorBidi" w:hAnsiTheme="majorBidi" w:cstheme="majorBidi"/>
          <w:color w:val="000000"/>
          <w:sz w:val="18"/>
          <w:szCs w:val="18"/>
        </w:rPr>
        <w:t xml:space="preserve"> </w:t>
      </w:r>
      <w:r w:rsidR="009F40B1" w:rsidRPr="00701C74">
        <w:rPr>
          <w:rFonts w:asciiTheme="majorBidi" w:hAnsiTheme="majorBidi" w:cstheme="majorBidi"/>
          <w:color w:val="000000"/>
          <w:sz w:val="18"/>
          <w:szCs w:val="18"/>
        </w:rPr>
        <w:t>Nrf2 activation up regulates a series of genes including those involved in xenobiotic and ROS detoxification in order to resist oxidant and electrophilic environmental stressors. Keap1 is considered a molecular switch of Nrf2. When cells are attacked by free radicals or nucleophiles, the redox-sensitive cysteine residues of Keap1 react and alter the functional conformation of Keap1,thereby abolishing the inactivation of Nrf2</w:t>
      </w:r>
      <w:r w:rsidR="00D64C45" w:rsidRPr="00701C74">
        <w:rPr>
          <w:rFonts w:asciiTheme="majorBidi" w:hAnsiTheme="majorBidi" w:cstheme="majorBidi"/>
          <w:color w:val="000000"/>
          <w:sz w:val="18"/>
          <w:szCs w:val="18"/>
        </w:rPr>
        <w:t>.</w:t>
      </w:r>
      <w:r w:rsidR="007741B5" w:rsidRPr="00701C74">
        <w:rPr>
          <w:rFonts w:asciiTheme="majorBidi" w:hAnsiTheme="majorBidi" w:cstheme="majorBidi"/>
          <w:color w:val="000000"/>
          <w:sz w:val="18"/>
          <w:szCs w:val="18"/>
        </w:rPr>
        <w:t>The first eukaryotic transcription factor shown to respond directly to oxidative stress as NF</w:t>
      </w:r>
      <m:oMath>
        <m:r>
          <m:rPr>
            <m:sty m:val="p"/>
          </m:rPr>
          <w:rPr>
            <w:rFonts w:asciiTheme="majorBidi" w:hAnsiTheme="majorBidi" w:cstheme="majorBidi"/>
            <w:sz w:val="18"/>
            <w:szCs w:val="18"/>
            <w:rtl/>
            <w:lang w:bidi="ar-IQ"/>
          </w:rPr>
          <m:t>k</m:t>
        </m:r>
      </m:oMath>
      <w:r w:rsidR="007741B5" w:rsidRPr="00701C74">
        <w:rPr>
          <w:rFonts w:asciiTheme="majorBidi" w:hAnsiTheme="majorBidi" w:cstheme="majorBidi"/>
          <w:color w:val="000000"/>
          <w:sz w:val="18"/>
          <w:szCs w:val="18"/>
        </w:rPr>
        <w:t>B. It is reported that, during inflammation, ROS can mediate the activation of redox-sensitive transcription factor NF</w:t>
      </w:r>
      <m:oMath>
        <m:r>
          <m:rPr>
            <m:sty m:val="p"/>
          </m:rPr>
          <w:rPr>
            <w:rFonts w:asciiTheme="majorBidi" w:hAnsiTheme="majorBidi" w:cstheme="majorBidi"/>
            <w:sz w:val="18"/>
            <w:szCs w:val="18"/>
            <w:rtl/>
            <w:lang w:bidi="ar-IQ"/>
          </w:rPr>
          <m:t>k</m:t>
        </m:r>
      </m:oMath>
      <w:r w:rsidR="007741B5" w:rsidRPr="00701C74">
        <w:rPr>
          <w:rFonts w:asciiTheme="majorBidi" w:hAnsiTheme="majorBidi" w:cstheme="majorBidi"/>
          <w:color w:val="000000"/>
          <w:sz w:val="18"/>
          <w:szCs w:val="18"/>
        </w:rPr>
        <w:t xml:space="preserve">B, and the subsequent expression of inflammatory cytokines. </w:t>
      </w:r>
      <w:r w:rsidR="006676C7" w:rsidRPr="00701C74">
        <w:rPr>
          <w:rFonts w:asciiTheme="majorBidi" w:hAnsiTheme="majorBidi" w:cstheme="majorBidi"/>
          <w:color w:val="000000"/>
          <w:sz w:val="18"/>
          <w:szCs w:val="18"/>
        </w:rPr>
        <w:t>Mitogen-activated protein kinases (MAPKs) includes four subfamilies, the best characterized of which are the extracellular regulated protein kinases (ERKs)</w:t>
      </w:r>
      <w:r w:rsidR="00D64C45" w:rsidRPr="00701C74">
        <w:rPr>
          <w:rFonts w:asciiTheme="majorBidi" w:hAnsiTheme="majorBidi" w:cstheme="majorBidi"/>
          <w:color w:val="000000"/>
          <w:sz w:val="18"/>
          <w:szCs w:val="18"/>
        </w:rPr>
        <w:t xml:space="preserve"> which involved in anabolic processes </w:t>
      </w:r>
      <w:r w:rsidR="006676C7" w:rsidRPr="00701C74">
        <w:rPr>
          <w:rFonts w:asciiTheme="majorBidi" w:hAnsiTheme="majorBidi" w:cstheme="majorBidi"/>
          <w:color w:val="000000"/>
          <w:sz w:val="18"/>
          <w:szCs w:val="18"/>
        </w:rPr>
        <w:t>, c-</w:t>
      </w:r>
      <w:proofErr w:type="spellStart"/>
      <w:r w:rsidR="006676C7" w:rsidRPr="00701C74">
        <w:rPr>
          <w:rFonts w:asciiTheme="majorBidi" w:hAnsiTheme="majorBidi" w:cstheme="majorBidi"/>
          <w:color w:val="000000"/>
          <w:sz w:val="18"/>
          <w:szCs w:val="18"/>
        </w:rPr>
        <w:t>jun</w:t>
      </w:r>
      <w:proofErr w:type="spellEnd"/>
      <w:r w:rsidR="006676C7" w:rsidRPr="00701C74">
        <w:rPr>
          <w:rFonts w:asciiTheme="majorBidi" w:hAnsiTheme="majorBidi" w:cstheme="majorBidi"/>
          <w:color w:val="000000"/>
          <w:sz w:val="18"/>
          <w:szCs w:val="18"/>
        </w:rPr>
        <w:t xml:space="preserve"> N-terminal kinase (JNKs), and p38-MAPK</w:t>
      </w:r>
      <w:r w:rsidR="00D64C45" w:rsidRPr="00701C74">
        <w:rPr>
          <w:rFonts w:asciiTheme="majorBidi" w:hAnsiTheme="majorBidi" w:cstheme="majorBidi"/>
          <w:color w:val="000000"/>
          <w:sz w:val="18"/>
          <w:szCs w:val="18"/>
        </w:rPr>
        <w:t xml:space="preserve"> ( associated with cellular response to diverse stress</w:t>
      </w:r>
      <w:r w:rsidR="006676C7" w:rsidRPr="00701C74">
        <w:rPr>
          <w:rFonts w:asciiTheme="majorBidi" w:hAnsiTheme="majorBidi" w:cstheme="majorBidi"/>
          <w:color w:val="000000"/>
          <w:sz w:val="18"/>
          <w:szCs w:val="18"/>
        </w:rPr>
        <w:t xml:space="preserve">; these can be activated by a variety of stimuli. </w:t>
      </w:r>
      <w:r w:rsidR="008364A0" w:rsidRPr="00701C74">
        <w:rPr>
          <w:rFonts w:asciiTheme="majorBidi" w:hAnsiTheme="majorBidi" w:cstheme="majorBidi"/>
          <w:color w:val="000000"/>
          <w:sz w:val="18"/>
          <w:szCs w:val="18"/>
        </w:rPr>
        <w:t xml:space="preserve">Protein kinase C (PKC) represents a family of phospholipid-dependent </w:t>
      </w:r>
      <w:proofErr w:type="spellStart"/>
      <w:r w:rsidR="008364A0" w:rsidRPr="00701C74">
        <w:rPr>
          <w:rFonts w:asciiTheme="majorBidi" w:hAnsiTheme="majorBidi" w:cstheme="majorBidi"/>
          <w:color w:val="000000"/>
          <w:sz w:val="18"/>
          <w:szCs w:val="18"/>
        </w:rPr>
        <w:t>ser</w:t>
      </w:r>
      <w:proofErr w:type="spellEnd"/>
      <w:r w:rsidR="008364A0" w:rsidRPr="00701C74">
        <w:rPr>
          <w:rFonts w:asciiTheme="majorBidi" w:hAnsiTheme="majorBidi" w:cstheme="majorBidi"/>
          <w:color w:val="000000"/>
          <w:sz w:val="18"/>
          <w:szCs w:val="18"/>
        </w:rPr>
        <w:t>/</w:t>
      </w:r>
      <w:proofErr w:type="spellStart"/>
      <w:r w:rsidR="008364A0" w:rsidRPr="00701C74">
        <w:rPr>
          <w:rFonts w:asciiTheme="majorBidi" w:hAnsiTheme="majorBidi" w:cstheme="majorBidi"/>
          <w:color w:val="000000"/>
          <w:sz w:val="18"/>
          <w:szCs w:val="18"/>
        </w:rPr>
        <w:t>thr</w:t>
      </w:r>
      <w:proofErr w:type="spellEnd"/>
      <w:r w:rsidR="008364A0" w:rsidRPr="00701C74">
        <w:rPr>
          <w:rFonts w:asciiTheme="majorBidi" w:hAnsiTheme="majorBidi" w:cstheme="majorBidi"/>
          <w:color w:val="000000"/>
          <w:sz w:val="18"/>
          <w:szCs w:val="18"/>
        </w:rPr>
        <w:t xml:space="preserve"> kinases that are involved in a variety of pathways that regulate cell growth, death, and stress responsiveness. </w:t>
      </w:r>
    </w:p>
    <w:p w:rsidR="003E78B2" w:rsidRPr="003E78B2" w:rsidRDefault="003E78B2" w:rsidP="003E78B2">
      <w:pPr>
        <w:autoSpaceDE w:val="0"/>
        <w:autoSpaceDN w:val="0"/>
        <w:bidi w:val="0"/>
        <w:adjustRightInd w:val="0"/>
        <w:spacing w:before="240"/>
        <w:contextualSpacing/>
        <w:jc w:val="both"/>
        <w:rPr>
          <w:rFonts w:asciiTheme="majorBidi" w:hAnsiTheme="majorBidi" w:cstheme="majorBidi"/>
          <w:sz w:val="20"/>
          <w:szCs w:val="20"/>
        </w:rPr>
      </w:pPr>
    </w:p>
    <w:p w:rsidR="003E78B2" w:rsidRPr="003E78B2" w:rsidRDefault="003E78B2" w:rsidP="003E78B2">
      <w:pPr>
        <w:bidi w:val="0"/>
        <w:spacing w:after="100" w:afterAutospacing="1" w:line="240" w:lineRule="auto"/>
        <w:contextualSpacing/>
        <w:rPr>
          <w:rFonts w:ascii="Times New Roman" w:eastAsia="Calibri" w:hAnsi="Times New Roman" w:cs="Times New Roman"/>
          <w:b/>
          <w:bCs/>
          <w:sz w:val="20"/>
          <w:szCs w:val="20"/>
          <w:lang w:bidi="ar-IQ"/>
        </w:rPr>
      </w:pPr>
      <w:r w:rsidRPr="003E78B2">
        <w:rPr>
          <w:rFonts w:ascii="Times New Roman" w:eastAsia="Calibri" w:hAnsi="Times New Roman" w:cs="Times New Roman"/>
          <w:b/>
          <w:bCs/>
          <w:sz w:val="20"/>
          <w:szCs w:val="20"/>
          <w:lang w:bidi="ar-IQ"/>
        </w:rPr>
        <w:t>References</w:t>
      </w:r>
    </w:p>
    <w:p w:rsidR="003E78B2" w:rsidRPr="00701C74" w:rsidRDefault="009C5D2A" w:rsidP="009C5D2A">
      <w:pPr>
        <w:autoSpaceDE w:val="0"/>
        <w:autoSpaceDN w:val="0"/>
        <w:bidi w:val="0"/>
        <w:adjustRightInd w:val="0"/>
        <w:spacing w:after="100" w:afterAutospacing="1" w:line="240" w:lineRule="auto"/>
        <w:contextualSpacing/>
        <w:jc w:val="both"/>
        <w:rPr>
          <w:rFonts w:ascii="Times New Roman" w:eastAsia="Calibri" w:hAnsi="Times New Roman" w:cs="Times New Roman"/>
          <w:color w:val="FF0000"/>
          <w:sz w:val="18"/>
          <w:szCs w:val="18"/>
          <w:lang w:bidi="ar-IQ"/>
        </w:rPr>
      </w:pPr>
      <w:r w:rsidRPr="00701C74">
        <w:rPr>
          <w:rFonts w:ascii="Times New Roman" w:eastAsia="Calibri" w:hAnsi="Times New Roman" w:cs="Times New Roman"/>
          <w:sz w:val="18"/>
          <w:szCs w:val="18"/>
        </w:rPr>
        <w:t xml:space="preserve">1- </w:t>
      </w:r>
      <w:r w:rsidR="003E78B2" w:rsidRPr="00701C74">
        <w:rPr>
          <w:rFonts w:ascii="Times New Roman" w:eastAsia="Calibri" w:hAnsi="Times New Roman" w:cs="Times New Roman"/>
          <w:sz w:val="18"/>
          <w:szCs w:val="18"/>
        </w:rPr>
        <w:t xml:space="preserve">Gill HS, </w:t>
      </w:r>
      <w:proofErr w:type="spellStart"/>
      <w:r w:rsidR="003E78B2" w:rsidRPr="00701C74">
        <w:rPr>
          <w:rFonts w:ascii="Times New Roman" w:eastAsia="Calibri" w:hAnsi="Times New Roman" w:cs="Times New Roman"/>
          <w:sz w:val="18"/>
          <w:szCs w:val="18"/>
        </w:rPr>
        <w:t>Guarner</w:t>
      </w:r>
      <w:proofErr w:type="spellEnd"/>
      <w:r w:rsidR="003E78B2" w:rsidRPr="00701C74">
        <w:rPr>
          <w:rFonts w:ascii="Times New Roman" w:eastAsia="Calibri" w:hAnsi="Times New Roman" w:cs="Times New Roman"/>
          <w:sz w:val="18"/>
          <w:szCs w:val="18"/>
        </w:rPr>
        <w:t xml:space="preserve"> F (2004). Probiotics and human </w:t>
      </w:r>
      <w:r w:rsidR="00342610" w:rsidRPr="00701C74">
        <w:rPr>
          <w:rFonts w:ascii="Times New Roman" w:eastAsia="Calibri" w:hAnsi="Times New Roman" w:cs="Times New Roman"/>
          <w:sz w:val="18"/>
          <w:szCs w:val="18"/>
        </w:rPr>
        <w:t>health: a</w:t>
      </w:r>
      <w:r w:rsidR="003E78B2" w:rsidRPr="00701C74">
        <w:rPr>
          <w:rFonts w:ascii="Times New Roman" w:eastAsia="Calibri" w:hAnsi="Times New Roman" w:cs="Times New Roman"/>
          <w:sz w:val="18"/>
          <w:szCs w:val="18"/>
        </w:rPr>
        <w:t xml:space="preserve"> clinical perspective. Postgrad Med J, </w:t>
      </w:r>
      <w:proofErr w:type="spellStart"/>
      <w:r w:rsidR="003E78B2" w:rsidRPr="00701C74">
        <w:rPr>
          <w:rFonts w:ascii="Times New Roman" w:eastAsia="Calibri" w:hAnsi="Times New Roman" w:cs="Times New Roman"/>
          <w:sz w:val="18"/>
          <w:szCs w:val="18"/>
        </w:rPr>
        <w:t>vol</w:t>
      </w:r>
      <w:proofErr w:type="spellEnd"/>
      <w:r w:rsidR="003E78B2" w:rsidRPr="00701C74">
        <w:rPr>
          <w:rFonts w:ascii="Times New Roman" w:eastAsia="Calibri" w:hAnsi="Times New Roman" w:cs="Times New Roman"/>
          <w:sz w:val="18"/>
          <w:szCs w:val="18"/>
        </w:rPr>
        <w:t xml:space="preserve"> 80:516–526.</w:t>
      </w:r>
    </w:p>
    <w:p w:rsidR="003E78B2" w:rsidRPr="00701C74" w:rsidRDefault="009C5D2A" w:rsidP="009C5D2A">
      <w:pPr>
        <w:autoSpaceDE w:val="0"/>
        <w:autoSpaceDN w:val="0"/>
        <w:bidi w:val="0"/>
        <w:adjustRightInd w:val="0"/>
        <w:spacing w:after="100" w:afterAutospacing="1" w:line="240" w:lineRule="auto"/>
        <w:contextualSpacing/>
        <w:jc w:val="both"/>
        <w:rPr>
          <w:rFonts w:ascii="Calibri" w:eastAsia="Calibri" w:hAnsi="Calibri" w:cs="Arial"/>
          <w:sz w:val="18"/>
          <w:szCs w:val="18"/>
          <w:rtl/>
          <w:lang w:bidi="ar-IQ"/>
        </w:rPr>
      </w:pPr>
      <w:r w:rsidRPr="00701C74">
        <w:rPr>
          <w:rFonts w:ascii="URWPalladioL-Roma" w:eastAsia="Calibri" w:hAnsi="URWPalladioL-Roma" w:cs="URWPalladioL-Roma"/>
          <w:sz w:val="18"/>
          <w:szCs w:val="18"/>
        </w:rPr>
        <w:t>2-</w:t>
      </w:r>
      <w:r w:rsidR="003E78B2" w:rsidRPr="00701C74">
        <w:rPr>
          <w:rFonts w:ascii="URWPalladioL-Roma" w:eastAsia="Calibri" w:hAnsi="URWPalladioL-Roma" w:cs="URWPalladioL-Roma"/>
          <w:sz w:val="18"/>
          <w:szCs w:val="18"/>
        </w:rPr>
        <w:t xml:space="preserve">Kobayashi, M.; Li, L.; Iwamoto, N.; Nakajima-Takagi, Y.; Kaneko, H.; Nakayama, Y.; </w:t>
      </w:r>
      <w:proofErr w:type="spellStart"/>
      <w:r w:rsidR="003E78B2" w:rsidRPr="00701C74">
        <w:rPr>
          <w:rFonts w:ascii="URWPalladioL-Roma" w:eastAsia="Calibri" w:hAnsi="URWPalladioL-Roma" w:cs="URWPalladioL-Roma"/>
          <w:sz w:val="18"/>
          <w:szCs w:val="18"/>
        </w:rPr>
        <w:t>Eguchi</w:t>
      </w:r>
      <w:proofErr w:type="spellEnd"/>
      <w:r w:rsidR="003E78B2" w:rsidRPr="00701C74">
        <w:rPr>
          <w:rFonts w:ascii="URWPalladioL-Roma" w:eastAsia="Calibri" w:hAnsi="URWPalladioL-Roma" w:cs="URWPalladioL-Roma"/>
          <w:sz w:val="18"/>
          <w:szCs w:val="18"/>
        </w:rPr>
        <w:t xml:space="preserve">, </w:t>
      </w:r>
      <w:proofErr w:type="spellStart"/>
      <w:r w:rsidR="003E78B2" w:rsidRPr="00701C74">
        <w:rPr>
          <w:rFonts w:ascii="URWPalladioL-Roma" w:eastAsia="Calibri" w:hAnsi="URWPalladioL-Roma" w:cs="URWPalladioL-Roma"/>
          <w:sz w:val="18"/>
          <w:szCs w:val="18"/>
        </w:rPr>
        <w:t>M.;Wada</w:t>
      </w:r>
      <w:proofErr w:type="spellEnd"/>
      <w:r w:rsidR="003E78B2" w:rsidRPr="00701C74">
        <w:rPr>
          <w:rFonts w:ascii="URWPalladioL-Roma" w:eastAsia="Calibri" w:hAnsi="URWPalladioL-Roma" w:cs="URWPalladioL-Roma"/>
          <w:sz w:val="18"/>
          <w:szCs w:val="18"/>
        </w:rPr>
        <w:t>, Y.;</w:t>
      </w:r>
      <w:proofErr w:type="spellStart"/>
      <w:r w:rsidR="003E78B2" w:rsidRPr="00701C74">
        <w:rPr>
          <w:rFonts w:ascii="URWPalladioL-Roma" w:eastAsia="Calibri" w:hAnsi="URWPalladioL-Roma" w:cs="URWPalladioL-Roma"/>
          <w:sz w:val="18"/>
          <w:szCs w:val="18"/>
        </w:rPr>
        <w:t>Kumagai</w:t>
      </w:r>
      <w:proofErr w:type="spellEnd"/>
      <w:r w:rsidR="003E78B2" w:rsidRPr="00701C74">
        <w:rPr>
          <w:rFonts w:ascii="URWPalladioL-Roma" w:eastAsia="Calibri" w:hAnsi="URWPalladioL-Roma" w:cs="URWPalladioL-Roma"/>
          <w:sz w:val="18"/>
          <w:szCs w:val="18"/>
        </w:rPr>
        <w:t xml:space="preserve">, Y.; Yamamoto, M. The antioxidant defense system Keap1-Nrf2 comprises a multiple sensing mechanism for responding to a wide range of chemical compounds. </w:t>
      </w:r>
      <w:r w:rsidR="003E78B2" w:rsidRPr="00701C74">
        <w:rPr>
          <w:rFonts w:ascii="URWPalladioL-Ital" w:eastAsia="Calibri" w:hAnsi="URWPalladioL-Ital" w:cs="URWPalladioL-Ital"/>
          <w:sz w:val="18"/>
          <w:szCs w:val="18"/>
        </w:rPr>
        <w:t xml:space="preserve">Mol. Cell. Biol. </w:t>
      </w:r>
      <w:r w:rsidR="003E78B2" w:rsidRPr="00701C74">
        <w:rPr>
          <w:rFonts w:ascii="URWPalladioL-Bold" w:eastAsia="Calibri" w:hAnsi="URWPalladioL-Bold" w:cs="URWPalladioL-Bold"/>
          <w:sz w:val="18"/>
          <w:szCs w:val="18"/>
        </w:rPr>
        <w:t>2009</w:t>
      </w:r>
      <w:r w:rsidR="003E78B2" w:rsidRPr="00701C74">
        <w:rPr>
          <w:rFonts w:ascii="URWPalladioL-Roma" w:eastAsia="Calibri" w:hAnsi="URWPalladioL-Roma" w:cs="URWPalladioL-Roma"/>
          <w:sz w:val="18"/>
          <w:szCs w:val="18"/>
        </w:rPr>
        <w:t xml:space="preserve">, </w:t>
      </w:r>
      <w:r w:rsidR="003E78B2" w:rsidRPr="00701C74">
        <w:rPr>
          <w:rFonts w:ascii="URWPalladioL-Ital" w:eastAsia="Calibri" w:hAnsi="URWPalladioL-Ital" w:cs="URWPalladioL-Ital"/>
          <w:sz w:val="18"/>
          <w:szCs w:val="18"/>
        </w:rPr>
        <w:t>29</w:t>
      </w:r>
      <w:r w:rsidR="003E78B2" w:rsidRPr="00701C74">
        <w:rPr>
          <w:rFonts w:ascii="URWPalladioL-Roma" w:eastAsia="Calibri" w:hAnsi="URWPalladioL-Roma" w:cs="URWPalladioL-Roma"/>
          <w:sz w:val="18"/>
          <w:szCs w:val="18"/>
        </w:rPr>
        <w:t>, 493–502.</w:t>
      </w:r>
    </w:p>
    <w:p w:rsidR="003E78B2" w:rsidRPr="00701C74" w:rsidRDefault="009C5D2A" w:rsidP="009C5D2A">
      <w:pPr>
        <w:autoSpaceDE w:val="0"/>
        <w:autoSpaceDN w:val="0"/>
        <w:bidi w:val="0"/>
        <w:adjustRightInd w:val="0"/>
        <w:spacing w:after="0" w:afterAutospacing="1" w:line="240" w:lineRule="auto"/>
        <w:jc w:val="both"/>
        <w:rPr>
          <w:rFonts w:ascii="Calibri" w:eastAsia="Calibri" w:hAnsi="Calibri" w:cs="Arial"/>
          <w:sz w:val="18"/>
          <w:szCs w:val="18"/>
          <w:rtl/>
          <w:lang w:bidi="ar-IQ"/>
        </w:rPr>
      </w:pPr>
      <w:r w:rsidRPr="00701C74">
        <w:rPr>
          <w:rFonts w:ascii="TimesNewRomanPSMT" w:eastAsia="Calibri" w:hAnsi="TimesNewRomanPSMT" w:cs="TimesNewRomanPSMT"/>
          <w:sz w:val="18"/>
          <w:szCs w:val="18"/>
        </w:rPr>
        <w:t>3-</w:t>
      </w:r>
      <w:r w:rsidR="003E78B2" w:rsidRPr="00701C74">
        <w:rPr>
          <w:rFonts w:ascii="TimesNewRomanPSMT" w:eastAsia="Calibri" w:hAnsi="TimesNewRomanPSMT" w:cs="TimesNewRomanPSMT"/>
          <w:sz w:val="18"/>
          <w:szCs w:val="18"/>
        </w:rPr>
        <w:t xml:space="preserve">Amaretti A, di </w:t>
      </w:r>
      <w:proofErr w:type="spellStart"/>
      <w:r w:rsidR="003E78B2" w:rsidRPr="00701C74">
        <w:rPr>
          <w:rFonts w:ascii="TimesNewRomanPSMT" w:eastAsia="Calibri" w:hAnsi="TimesNewRomanPSMT" w:cs="TimesNewRomanPSMT"/>
          <w:sz w:val="18"/>
          <w:szCs w:val="18"/>
        </w:rPr>
        <w:t>Nunzio</w:t>
      </w:r>
      <w:proofErr w:type="spellEnd"/>
      <w:r w:rsidR="003E78B2" w:rsidRPr="00701C74">
        <w:rPr>
          <w:rFonts w:ascii="TimesNewRomanPSMT" w:eastAsia="Calibri" w:hAnsi="TimesNewRomanPSMT" w:cs="TimesNewRomanPSMT"/>
          <w:sz w:val="18"/>
          <w:szCs w:val="18"/>
        </w:rPr>
        <w:t xml:space="preserve"> M, </w:t>
      </w:r>
      <w:proofErr w:type="spellStart"/>
      <w:r w:rsidR="003E78B2" w:rsidRPr="00701C74">
        <w:rPr>
          <w:rFonts w:ascii="TimesNewRomanPSMT" w:eastAsia="Calibri" w:hAnsi="TimesNewRomanPSMT" w:cs="TimesNewRomanPSMT"/>
          <w:sz w:val="18"/>
          <w:szCs w:val="18"/>
        </w:rPr>
        <w:t>Pompei</w:t>
      </w:r>
      <w:proofErr w:type="spellEnd"/>
      <w:r w:rsidR="003E78B2" w:rsidRPr="00701C74">
        <w:rPr>
          <w:rFonts w:ascii="TimesNewRomanPSMT" w:eastAsia="Calibri" w:hAnsi="TimesNewRomanPSMT" w:cs="TimesNewRomanPSMT"/>
          <w:sz w:val="18"/>
          <w:szCs w:val="18"/>
        </w:rPr>
        <w:t xml:space="preserve"> A, et al. (2013) Antioxidant properties of potentially probiotic  bacteria: In vitro and in vivo activities. </w:t>
      </w:r>
      <w:proofErr w:type="spellStart"/>
      <w:r w:rsidR="003E78B2" w:rsidRPr="00701C74">
        <w:rPr>
          <w:rFonts w:ascii="TimesNewRomanPS-ItalicMT" w:eastAsia="Calibri" w:hAnsi="TimesNewRomanPS-ItalicMT" w:cs="TimesNewRomanPS-ItalicMT"/>
          <w:i/>
          <w:iCs/>
          <w:sz w:val="18"/>
          <w:szCs w:val="18"/>
        </w:rPr>
        <w:t>Appl</w:t>
      </w:r>
      <w:proofErr w:type="spellEnd"/>
      <w:r w:rsidR="003E78B2" w:rsidRPr="00701C74">
        <w:rPr>
          <w:rFonts w:ascii="TimesNewRomanPS-ItalicMT" w:eastAsia="Calibri" w:hAnsi="TimesNewRomanPS-ItalicMT" w:cs="TimesNewRomanPS-ItalicMT"/>
          <w:i/>
          <w:iCs/>
          <w:sz w:val="18"/>
          <w:szCs w:val="18"/>
        </w:rPr>
        <w:t xml:space="preserve"> </w:t>
      </w:r>
      <w:proofErr w:type="spellStart"/>
      <w:r w:rsidR="003E78B2" w:rsidRPr="00701C74">
        <w:rPr>
          <w:rFonts w:ascii="TimesNewRomanPS-ItalicMT" w:eastAsia="Calibri" w:hAnsi="TimesNewRomanPS-ItalicMT" w:cs="TimesNewRomanPS-ItalicMT"/>
          <w:i/>
          <w:iCs/>
          <w:sz w:val="18"/>
          <w:szCs w:val="18"/>
        </w:rPr>
        <w:t>Microbiol</w:t>
      </w:r>
      <w:proofErr w:type="spellEnd"/>
      <w:r w:rsidR="003E78B2" w:rsidRPr="00701C74">
        <w:rPr>
          <w:rFonts w:ascii="TimesNewRomanPS-ItalicMT" w:eastAsia="Calibri" w:hAnsi="TimesNewRomanPS-ItalicMT" w:cs="TimesNewRomanPS-ItalicMT"/>
          <w:i/>
          <w:iCs/>
          <w:sz w:val="18"/>
          <w:szCs w:val="18"/>
        </w:rPr>
        <w:t xml:space="preserve"> </w:t>
      </w:r>
      <w:proofErr w:type="spellStart"/>
      <w:r w:rsidR="003E78B2" w:rsidRPr="00701C74">
        <w:rPr>
          <w:rFonts w:ascii="TimesNewRomanPS-ItalicMT" w:eastAsia="Calibri" w:hAnsi="TimesNewRomanPS-ItalicMT" w:cs="TimesNewRomanPS-ItalicMT"/>
          <w:i/>
          <w:iCs/>
          <w:sz w:val="18"/>
          <w:szCs w:val="18"/>
        </w:rPr>
        <w:t>Biotechnol</w:t>
      </w:r>
      <w:proofErr w:type="spellEnd"/>
      <w:r w:rsidR="003E78B2" w:rsidRPr="00701C74">
        <w:rPr>
          <w:rFonts w:ascii="TimesNewRomanPS-ItalicMT" w:eastAsia="Calibri" w:hAnsi="TimesNewRomanPS-ItalicMT" w:cs="TimesNewRomanPS-ItalicMT"/>
          <w:i/>
          <w:iCs/>
          <w:sz w:val="18"/>
          <w:szCs w:val="18"/>
        </w:rPr>
        <w:t xml:space="preserve"> </w:t>
      </w:r>
      <w:r w:rsidR="003E78B2" w:rsidRPr="00701C74">
        <w:rPr>
          <w:rFonts w:ascii="TimesNewRomanPSMT" w:eastAsia="Calibri" w:hAnsi="TimesNewRomanPSMT" w:cs="TimesNewRomanPSMT"/>
          <w:sz w:val="18"/>
          <w:szCs w:val="18"/>
        </w:rPr>
        <w:t>97: 809–817.</w:t>
      </w:r>
    </w:p>
    <w:p w:rsidR="005D0EBA" w:rsidRPr="00643F96" w:rsidRDefault="00F5723A" w:rsidP="005D0EBA">
      <w:pPr>
        <w:autoSpaceDE w:val="0"/>
        <w:autoSpaceDN w:val="0"/>
        <w:bidi w:val="0"/>
        <w:adjustRightInd w:val="0"/>
        <w:spacing w:after="0" w:line="240" w:lineRule="auto"/>
        <w:rPr>
          <w:rFonts w:ascii="URWPalladioL-Roma" w:hAnsi="URWPalladioL-Roma"/>
          <w:b/>
          <w:bCs/>
          <w:sz w:val="20"/>
          <w:szCs w:val="20"/>
          <w:lang w:bidi="ar-IQ"/>
        </w:rPr>
      </w:pPr>
      <w:r w:rsidRPr="00643F96">
        <w:rPr>
          <w:rFonts w:ascii="URWPalladioL-Roma" w:hAnsi="URWPalladioL-Roma"/>
          <w:b/>
          <w:bCs/>
          <w:sz w:val="20"/>
          <w:szCs w:val="20"/>
          <w:lang w:bidi="ar-IQ"/>
        </w:rPr>
        <w:t>Biography:</w:t>
      </w:r>
    </w:p>
    <w:p w:rsidR="008860E0" w:rsidRPr="00F5723A" w:rsidRDefault="008860E0" w:rsidP="008860E0">
      <w:pPr>
        <w:autoSpaceDE w:val="0"/>
        <w:autoSpaceDN w:val="0"/>
        <w:bidi w:val="0"/>
        <w:adjustRightInd w:val="0"/>
        <w:spacing w:after="0" w:line="240" w:lineRule="auto"/>
        <w:rPr>
          <w:rFonts w:ascii="URWPalladioL-Roma" w:hAnsi="URWPalladioL-Roma"/>
          <w:b/>
          <w:bCs/>
          <w:lang w:bidi="ar-IQ"/>
        </w:rPr>
      </w:pPr>
    </w:p>
    <w:p w:rsidR="006676C7" w:rsidRPr="00701C74" w:rsidRDefault="00770BE7" w:rsidP="00C93939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18"/>
          <w:szCs w:val="18"/>
        </w:rPr>
      </w:pPr>
      <w:r w:rsidRPr="00701C74">
        <w:rPr>
          <w:rFonts w:asciiTheme="majorBidi" w:hAnsiTheme="majorBidi" w:cstheme="majorBidi"/>
          <w:sz w:val="18"/>
          <w:szCs w:val="18"/>
        </w:rPr>
        <w:t>Samer M Al-Hulu, Assistant Professor of Microbiology, has completed his PhD from Babylon University/College of Science. He has published more than 14 papers in</w:t>
      </w:r>
      <w:r w:rsidR="00BC1887" w:rsidRPr="00701C74">
        <w:rPr>
          <w:rFonts w:asciiTheme="majorBidi" w:hAnsiTheme="majorBidi" w:cstheme="majorBidi"/>
          <w:sz w:val="18"/>
          <w:szCs w:val="18"/>
        </w:rPr>
        <w:t xml:space="preserve"> </w:t>
      </w:r>
      <w:r w:rsidRPr="00701C74">
        <w:rPr>
          <w:rFonts w:asciiTheme="majorBidi" w:hAnsiTheme="majorBidi" w:cstheme="majorBidi"/>
          <w:sz w:val="18"/>
          <w:szCs w:val="18"/>
        </w:rPr>
        <w:t>Microbiology field. He completed his training at Ministry of Health at Laboratory of Babylon Maternity and Children Hospital.</w:t>
      </w:r>
      <w:r w:rsidR="002F75A2" w:rsidRPr="00701C74">
        <w:rPr>
          <w:rFonts w:asciiTheme="majorBidi" w:hAnsiTheme="majorBidi" w:cstheme="majorBidi"/>
          <w:sz w:val="18"/>
          <w:szCs w:val="18"/>
        </w:rPr>
        <w:t xml:space="preserve"> </w:t>
      </w:r>
      <w:r w:rsidRPr="00701C74">
        <w:rPr>
          <w:rFonts w:asciiTheme="majorBidi" w:hAnsiTheme="majorBidi" w:cstheme="majorBidi"/>
          <w:sz w:val="18"/>
          <w:szCs w:val="18"/>
        </w:rPr>
        <w:t xml:space="preserve">Currently, </w:t>
      </w:r>
      <w:r w:rsidR="00C93939">
        <w:rPr>
          <w:rFonts w:asciiTheme="majorBidi" w:hAnsiTheme="majorBidi" w:cstheme="majorBidi"/>
          <w:sz w:val="18"/>
          <w:szCs w:val="18"/>
        </w:rPr>
        <w:t>H</w:t>
      </w:r>
      <w:r w:rsidRPr="00701C74">
        <w:rPr>
          <w:rFonts w:asciiTheme="majorBidi" w:hAnsiTheme="majorBidi" w:cstheme="majorBidi"/>
          <w:sz w:val="18"/>
          <w:szCs w:val="18"/>
        </w:rPr>
        <w:t>e is working at Al-Qasim Green</w:t>
      </w:r>
      <w:r w:rsidR="00D64C45" w:rsidRPr="00701C74">
        <w:rPr>
          <w:rFonts w:asciiTheme="majorBidi" w:hAnsiTheme="majorBidi" w:cstheme="majorBidi"/>
          <w:sz w:val="18"/>
          <w:szCs w:val="18"/>
        </w:rPr>
        <w:t xml:space="preserve"> </w:t>
      </w:r>
      <w:r w:rsidRPr="00701C74">
        <w:rPr>
          <w:rFonts w:asciiTheme="majorBidi" w:hAnsiTheme="majorBidi" w:cstheme="majorBidi"/>
          <w:sz w:val="18"/>
          <w:szCs w:val="18"/>
        </w:rPr>
        <w:t xml:space="preserve">University/College of </w:t>
      </w:r>
      <w:r w:rsidR="002D6AE8" w:rsidRPr="002D6AE8">
        <w:rPr>
          <w:rFonts w:asciiTheme="majorBidi" w:hAnsiTheme="majorBidi" w:cstheme="majorBidi"/>
          <w:sz w:val="18"/>
          <w:szCs w:val="18"/>
        </w:rPr>
        <w:t>Environmental</w:t>
      </w:r>
      <w:r w:rsidR="00C93939">
        <w:rPr>
          <w:rFonts w:asciiTheme="majorBidi" w:hAnsiTheme="majorBidi" w:cstheme="majorBidi"/>
          <w:sz w:val="18"/>
          <w:szCs w:val="18"/>
        </w:rPr>
        <w:t xml:space="preserve"> </w:t>
      </w:r>
      <w:r w:rsidR="002D6AE8" w:rsidRPr="002D6AE8">
        <w:rPr>
          <w:rFonts w:asciiTheme="majorBidi" w:hAnsiTheme="majorBidi" w:cstheme="majorBidi"/>
          <w:sz w:val="18"/>
          <w:szCs w:val="18"/>
        </w:rPr>
        <w:t>Sciences</w:t>
      </w:r>
      <w:r w:rsidR="002D6AE8">
        <w:rPr>
          <w:rFonts w:asciiTheme="majorBidi" w:hAnsiTheme="majorBidi" w:cstheme="majorBidi"/>
          <w:sz w:val="18"/>
          <w:szCs w:val="18"/>
        </w:rPr>
        <w:t>.</w:t>
      </w:r>
    </w:p>
    <w:p w:rsidR="003E78B2" w:rsidRDefault="003E78B2" w:rsidP="00D64C45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URWPalladioL-Roma" w:hAnsi="URWPalladioL-Roma" w:cs="URWPalladioL-Roma"/>
          <w:sz w:val="16"/>
          <w:szCs w:val="16"/>
        </w:rPr>
      </w:pPr>
    </w:p>
    <w:p w:rsidR="00B4517C" w:rsidRPr="00B4517C" w:rsidRDefault="00B4517C" w:rsidP="00B4517C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9"/>
          <w:szCs w:val="19"/>
          <w:lang w:val="en-NZ"/>
        </w:rPr>
      </w:pPr>
      <w:r w:rsidRPr="00B4517C">
        <w:rPr>
          <w:rFonts w:ascii="Times New Roman" w:eastAsia="Times New Roman" w:hAnsi="Times New Roman" w:cs="Times New Roman"/>
          <w:b/>
          <w:sz w:val="19"/>
          <w:szCs w:val="19"/>
          <w:lang w:val="en-NZ"/>
        </w:rPr>
        <w:t xml:space="preserve">Presenting author details    </w:t>
      </w:r>
    </w:p>
    <w:p w:rsidR="003E78B2" w:rsidRPr="003E78B2" w:rsidRDefault="003E78B2" w:rsidP="003E78B2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val="en-NZ"/>
        </w:rPr>
      </w:pPr>
    </w:p>
    <w:p w:rsidR="003E78B2" w:rsidRPr="003E78B2" w:rsidRDefault="009C5D2A" w:rsidP="003E78B2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val="en-NZ"/>
        </w:rPr>
      </w:pPr>
      <w:r>
        <w:rPr>
          <w:rFonts w:ascii="Times New Roman" w:eastAsia="Times New Roman" w:hAnsi="Times New Roman" w:cs="Times New Roman"/>
          <w:noProof/>
          <w:sz w:val="19"/>
          <w:szCs w:val="19"/>
        </w:rPr>
        <w:drawing>
          <wp:inline distT="0" distB="0" distL="0" distR="0">
            <wp:extent cx="685800" cy="609600"/>
            <wp:effectExtent l="0" t="0" r="0" b="0"/>
            <wp:docPr id="2" name="صورة 2" descr="G:\Al-Hul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Al-Hulu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78B2" w:rsidRPr="003E78B2">
        <w:rPr>
          <w:rFonts w:ascii="Times New Roman" w:eastAsia="Times New Roman" w:hAnsi="Times New Roman" w:cs="Times New Roman"/>
          <w:sz w:val="19"/>
          <w:szCs w:val="19"/>
          <w:lang w:val="en-NZ"/>
        </w:rPr>
        <w:br/>
      </w:r>
    </w:p>
    <w:p w:rsidR="003E78B2" w:rsidRPr="002D6AE8" w:rsidRDefault="003E78B2" w:rsidP="003E78B2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  <w:r w:rsidRPr="003E78B2">
        <w:rPr>
          <w:rFonts w:ascii="Times New Roman" w:eastAsia="Times New Roman" w:hAnsi="Times New Roman" w:cs="Times New Roman"/>
          <w:sz w:val="19"/>
          <w:szCs w:val="19"/>
          <w:lang w:val="en-NZ"/>
        </w:rPr>
        <w:t>Full Name:</w:t>
      </w:r>
      <w:r w:rsidR="009C5D2A">
        <w:rPr>
          <w:rFonts w:ascii="Times New Roman" w:eastAsia="Times New Roman" w:hAnsi="Times New Roman" w:cs="Times New Roman"/>
          <w:sz w:val="19"/>
          <w:szCs w:val="19"/>
          <w:lang w:val="en-NZ"/>
        </w:rPr>
        <w:t xml:space="preserve"> Samer </w:t>
      </w:r>
      <w:r w:rsidR="00C93939">
        <w:rPr>
          <w:rFonts w:ascii="Times New Roman" w:eastAsia="Times New Roman" w:hAnsi="Times New Roman" w:cs="Times New Roman"/>
          <w:sz w:val="19"/>
          <w:szCs w:val="19"/>
          <w:lang w:val="en-NZ"/>
        </w:rPr>
        <w:t xml:space="preserve"> </w:t>
      </w:r>
      <w:r w:rsidR="009C5D2A">
        <w:rPr>
          <w:rFonts w:ascii="Times New Roman" w:eastAsia="Times New Roman" w:hAnsi="Times New Roman" w:cs="Times New Roman"/>
          <w:sz w:val="19"/>
          <w:szCs w:val="19"/>
          <w:lang w:val="en-NZ"/>
        </w:rPr>
        <w:t>Mueen  Al-Hulu</w:t>
      </w:r>
    </w:p>
    <w:p w:rsidR="003E78B2" w:rsidRPr="003E78B2" w:rsidRDefault="003E78B2" w:rsidP="00C93939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9"/>
          <w:szCs w:val="19"/>
        </w:rPr>
      </w:pPr>
      <w:r w:rsidRPr="003E78B2">
        <w:rPr>
          <w:rFonts w:ascii="Times New Roman" w:eastAsia="Times New Roman" w:hAnsi="Times New Roman" w:cs="Times New Roman"/>
          <w:sz w:val="19"/>
          <w:szCs w:val="19"/>
          <w:lang w:val="en-NZ"/>
        </w:rPr>
        <w:t>Contact number:</w:t>
      </w:r>
      <w:r w:rsidR="00C93939">
        <w:rPr>
          <w:rFonts w:ascii="Times New Roman" w:eastAsia="Times New Roman" w:hAnsi="Times New Roman" w:cs="Times New Roman"/>
          <w:sz w:val="19"/>
          <w:szCs w:val="19"/>
          <w:lang w:val="en-NZ"/>
        </w:rPr>
        <w:t xml:space="preserve"> </w:t>
      </w:r>
      <w:r w:rsidR="009C5D2A">
        <w:rPr>
          <w:rFonts w:ascii="Times New Roman" w:eastAsia="Times New Roman" w:hAnsi="Times New Roman" w:cs="Times New Roman"/>
          <w:sz w:val="19"/>
          <w:szCs w:val="19"/>
          <w:lang w:val="en-NZ"/>
        </w:rPr>
        <w:t>96407811961340</w:t>
      </w:r>
      <w:r w:rsidRPr="003E78B2">
        <w:rPr>
          <w:rFonts w:ascii="Times New Roman" w:eastAsia="Times New Roman" w:hAnsi="Times New Roman" w:cs="Times New Roman"/>
          <w:sz w:val="19"/>
          <w:szCs w:val="19"/>
          <w:lang w:val="en-NZ"/>
        </w:rPr>
        <w:br/>
        <w:t>Linked In account:</w:t>
      </w:r>
      <w:r w:rsidR="003C7EDB" w:rsidRPr="003C7E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 w:history="1">
        <w:r w:rsidR="003C7EDB" w:rsidRPr="003C7E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  https://www.linkedin.com/in/al-hulu-s-m-347813ab</w:t>
        </w:r>
      </w:hyperlink>
    </w:p>
    <w:p w:rsidR="003E78B2" w:rsidRPr="003E78B2" w:rsidRDefault="003E78B2" w:rsidP="00B4517C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val="en-NZ"/>
        </w:rPr>
      </w:pPr>
      <w:r w:rsidRPr="003E78B2">
        <w:rPr>
          <w:rFonts w:ascii="Times New Roman" w:eastAsia="Times New Roman" w:hAnsi="Times New Roman" w:cs="Times New Roman"/>
          <w:sz w:val="19"/>
          <w:szCs w:val="19"/>
          <w:lang w:val="en-NZ"/>
        </w:rPr>
        <w:t>Category: (</w:t>
      </w:r>
      <w:r w:rsidR="001163E2">
        <w:rPr>
          <w:rFonts w:ascii="Times New Roman" w:eastAsia="Times New Roman" w:hAnsi="Times New Roman" w:cs="Times New Roman"/>
          <w:sz w:val="19"/>
          <w:szCs w:val="19"/>
          <w:lang w:val="en-NZ"/>
        </w:rPr>
        <w:t xml:space="preserve"> </w:t>
      </w:r>
      <w:r w:rsidR="00B4517C">
        <w:rPr>
          <w:rFonts w:ascii="Times New Roman" w:eastAsia="Times New Roman" w:hAnsi="Times New Roman" w:cs="Times New Roman"/>
          <w:sz w:val="19"/>
          <w:szCs w:val="19"/>
          <w:lang w:val="en-NZ"/>
        </w:rPr>
        <w:t>E</w:t>
      </w:r>
      <w:r w:rsidR="001163E2">
        <w:rPr>
          <w:rFonts w:ascii="Times New Roman" w:eastAsia="Times New Roman" w:hAnsi="Times New Roman" w:cs="Times New Roman"/>
          <w:sz w:val="19"/>
          <w:szCs w:val="19"/>
          <w:lang w:val="en-NZ"/>
        </w:rPr>
        <w:t xml:space="preserve">- </w:t>
      </w:r>
      <w:r w:rsidRPr="003E78B2">
        <w:rPr>
          <w:rFonts w:ascii="Times New Roman" w:eastAsia="Times New Roman" w:hAnsi="Times New Roman" w:cs="Times New Roman"/>
          <w:sz w:val="19"/>
          <w:szCs w:val="19"/>
          <w:lang w:val="en-NZ"/>
        </w:rPr>
        <w:t>Poster presentation)</w:t>
      </w:r>
    </w:p>
    <w:sectPr w:rsidR="003E78B2" w:rsidRPr="003E78B2" w:rsidSect="00AF140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RWPalladioL-Rom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RWPalladioL-It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RWPalladioL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B6C6A"/>
    <w:rsid w:val="0004545E"/>
    <w:rsid w:val="00070A90"/>
    <w:rsid w:val="000D08DC"/>
    <w:rsid w:val="00113767"/>
    <w:rsid w:val="001163E2"/>
    <w:rsid w:val="00141E7E"/>
    <w:rsid w:val="001814E9"/>
    <w:rsid w:val="001E30C8"/>
    <w:rsid w:val="002052D6"/>
    <w:rsid w:val="00212022"/>
    <w:rsid w:val="00230E01"/>
    <w:rsid w:val="0025792C"/>
    <w:rsid w:val="002D6AE8"/>
    <w:rsid w:val="002F75A2"/>
    <w:rsid w:val="00311F23"/>
    <w:rsid w:val="00342610"/>
    <w:rsid w:val="00343FBE"/>
    <w:rsid w:val="00376F8C"/>
    <w:rsid w:val="003907F6"/>
    <w:rsid w:val="003B74B5"/>
    <w:rsid w:val="003C7EDB"/>
    <w:rsid w:val="003E2595"/>
    <w:rsid w:val="003E34CF"/>
    <w:rsid w:val="003E78B2"/>
    <w:rsid w:val="00434926"/>
    <w:rsid w:val="004E215B"/>
    <w:rsid w:val="004E62BE"/>
    <w:rsid w:val="0052218C"/>
    <w:rsid w:val="005513C5"/>
    <w:rsid w:val="00551F0D"/>
    <w:rsid w:val="005D0EBA"/>
    <w:rsid w:val="005E7DCB"/>
    <w:rsid w:val="005F0F9A"/>
    <w:rsid w:val="005F1584"/>
    <w:rsid w:val="006224DE"/>
    <w:rsid w:val="00643F96"/>
    <w:rsid w:val="00651213"/>
    <w:rsid w:val="006676C7"/>
    <w:rsid w:val="00693611"/>
    <w:rsid w:val="00701C74"/>
    <w:rsid w:val="0070224C"/>
    <w:rsid w:val="00770BE7"/>
    <w:rsid w:val="007741B5"/>
    <w:rsid w:val="007A7C70"/>
    <w:rsid w:val="007C2E5F"/>
    <w:rsid w:val="007F404E"/>
    <w:rsid w:val="0082474E"/>
    <w:rsid w:val="008364A0"/>
    <w:rsid w:val="00840AEF"/>
    <w:rsid w:val="008860E0"/>
    <w:rsid w:val="008F0961"/>
    <w:rsid w:val="009C5D2A"/>
    <w:rsid w:val="009F40B1"/>
    <w:rsid w:val="00A75719"/>
    <w:rsid w:val="00AF1404"/>
    <w:rsid w:val="00B4517C"/>
    <w:rsid w:val="00B52E11"/>
    <w:rsid w:val="00B9710A"/>
    <w:rsid w:val="00BB2F79"/>
    <w:rsid w:val="00BC1887"/>
    <w:rsid w:val="00BF4519"/>
    <w:rsid w:val="00C27DA6"/>
    <w:rsid w:val="00C93939"/>
    <w:rsid w:val="00D64C45"/>
    <w:rsid w:val="00D76CC9"/>
    <w:rsid w:val="00D77792"/>
    <w:rsid w:val="00DD2F02"/>
    <w:rsid w:val="00E03073"/>
    <w:rsid w:val="00EB6C6A"/>
    <w:rsid w:val="00F5723A"/>
    <w:rsid w:val="00F6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404"/>
    <w:pPr>
      <w:bidi/>
    </w:pPr>
  </w:style>
  <w:style w:type="paragraph" w:styleId="1">
    <w:name w:val="heading 1"/>
    <w:basedOn w:val="a"/>
    <w:link w:val="1Char"/>
    <w:uiPriority w:val="99"/>
    <w:qFormat/>
    <w:rsid w:val="00551F0D"/>
    <w:pPr>
      <w:bidi w:val="0"/>
      <w:spacing w:before="100" w:beforeAutospacing="1" w:after="100" w:afterAutospacing="1" w:line="240" w:lineRule="auto"/>
      <w:outlineLvl w:val="0"/>
    </w:pPr>
    <w:rPr>
      <w:rFonts w:ascii="Times New Roman" w:eastAsia="Calibri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sid w:val="00D76CC9"/>
    <w:rPr>
      <w:color w:val="0000FF"/>
      <w:u w:val="single"/>
    </w:rPr>
  </w:style>
  <w:style w:type="character" w:customStyle="1" w:styleId="1Char">
    <w:name w:val="عنوان 1 Char"/>
    <w:basedOn w:val="a0"/>
    <w:link w:val="1"/>
    <w:uiPriority w:val="99"/>
    <w:rsid w:val="00551F0D"/>
    <w:rPr>
      <w:rFonts w:ascii="Times New Roman" w:eastAsia="Calibri" w:hAnsi="Times New Roman" w:cs="Times New Roman"/>
      <w:b/>
      <w:bCs/>
      <w:kern w:val="36"/>
      <w:sz w:val="48"/>
      <w:szCs w:val="48"/>
    </w:rPr>
  </w:style>
  <w:style w:type="paragraph" w:styleId="a3">
    <w:name w:val="Balloon Text"/>
    <w:basedOn w:val="a"/>
    <w:link w:val="Char"/>
    <w:uiPriority w:val="99"/>
    <w:semiHidden/>
    <w:unhideWhenUsed/>
    <w:rsid w:val="00141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141E7E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9C5D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%20%20%20https://www.linkedin.com/in/al-hulu-s-m-347813a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Naim Al Hussaini</Company>
  <LinksUpToDate>false</LinksUpToDate>
  <CharactersWithSpaces>3604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195</cp:revision>
  <dcterms:created xsi:type="dcterms:W3CDTF">2017-11-09T20:42:00Z</dcterms:created>
  <dcterms:modified xsi:type="dcterms:W3CDTF">2018-08-27T21:50:00Z</dcterms:modified>
</cp:coreProperties>
</file>