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AE1" w:rsidRPr="00806AE1" w:rsidRDefault="00806AE1" w:rsidP="00806AE1">
      <w:pPr>
        <w:bidi w:val="0"/>
        <w:rPr>
          <w:b/>
          <w:bCs/>
        </w:rPr>
      </w:pPr>
      <w:r w:rsidRPr="00806AE1">
        <w:rPr>
          <w:b/>
          <w:bCs/>
        </w:rPr>
        <w:t xml:space="preserve">The influence of substance </w:t>
      </w:r>
      <w:proofErr w:type="gramStart"/>
      <w:r w:rsidRPr="00806AE1">
        <w:rPr>
          <w:b/>
          <w:bCs/>
        </w:rPr>
        <w:t>abuse</w:t>
      </w:r>
      <w:proofErr w:type="gramEnd"/>
      <w:r w:rsidRPr="00806AE1">
        <w:rPr>
          <w:b/>
          <w:bCs/>
        </w:rPr>
        <w:t xml:space="preserve"> on inhibition capacities and risky decision in a group of outpatient schizophrenia patients</w:t>
      </w:r>
    </w:p>
    <w:p w:rsidR="00806AE1" w:rsidRPr="00806AE1" w:rsidRDefault="00806AE1" w:rsidP="00806AE1">
      <w:pPr>
        <w:bidi w:val="0"/>
      </w:pPr>
    </w:p>
    <w:p w:rsidR="00806AE1" w:rsidRPr="00806AE1" w:rsidRDefault="00352868" w:rsidP="00352868">
      <w:pPr>
        <w:bidi w:val="0"/>
      </w:pPr>
      <w:proofErr w:type="spellStart"/>
      <w:r>
        <w:t>Lior</w:t>
      </w:r>
      <w:proofErr w:type="spellEnd"/>
      <w:r>
        <w:t xml:space="preserve"> Glick; </w:t>
      </w:r>
      <w:proofErr w:type="spellStart"/>
      <w:r>
        <w:t>Semion</w:t>
      </w:r>
      <w:proofErr w:type="spellEnd"/>
      <w:r>
        <w:t xml:space="preserve"> </w:t>
      </w:r>
      <w:proofErr w:type="spellStart"/>
      <w:r>
        <w:t>Kertzman</w:t>
      </w:r>
      <w:proofErr w:type="spellEnd"/>
      <w:r w:rsidR="00806AE1" w:rsidRPr="00806AE1">
        <w:t xml:space="preserve">; Aviva Wolf; Marina </w:t>
      </w:r>
      <w:proofErr w:type="spellStart"/>
      <w:r w:rsidR="00806AE1" w:rsidRPr="00806AE1">
        <w:t>Kupchik</w:t>
      </w:r>
      <w:proofErr w:type="spellEnd"/>
      <w:r w:rsidR="00806AE1" w:rsidRPr="00806AE1">
        <w:t xml:space="preserve">; Maya </w:t>
      </w:r>
      <w:proofErr w:type="spellStart"/>
      <w:r w:rsidR="00806AE1" w:rsidRPr="00806AE1">
        <w:t>Kuperberg</w:t>
      </w:r>
      <w:proofErr w:type="spellEnd"/>
      <w:r w:rsidR="00806AE1" w:rsidRPr="00806AE1">
        <w:t xml:space="preserve">; </w:t>
      </w:r>
      <w:r w:rsidR="00806AE1" w:rsidRPr="00352868">
        <w:rPr>
          <w:b/>
          <w:bCs/>
        </w:rPr>
        <w:t>Pinhas Dannon*</w:t>
      </w:r>
      <w:bookmarkStart w:id="0" w:name="_GoBack"/>
      <w:bookmarkEnd w:id="0"/>
    </w:p>
    <w:p w:rsidR="00806AE1" w:rsidRPr="00806AE1" w:rsidRDefault="00806AE1" w:rsidP="00806AE1">
      <w:pPr>
        <w:bidi w:val="0"/>
        <w:rPr>
          <w:i/>
          <w:iCs/>
        </w:rPr>
      </w:pPr>
      <w:r w:rsidRPr="00806AE1">
        <w:rPr>
          <w:i/>
          <w:iCs/>
        </w:rPr>
        <w:t>The Co-occurring Disorders Treatment Ward Ness Ziona-Beer Yaakov Mental Health Centers &amp; The Sackler School of Medicine, Tel Aviv University</w:t>
      </w:r>
    </w:p>
    <w:p w:rsidR="000F1714" w:rsidRPr="000F1714" w:rsidRDefault="000F1714" w:rsidP="00806AE1">
      <w:pPr>
        <w:bidi w:val="0"/>
      </w:pPr>
      <w:r w:rsidRPr="000F1714">
        <w:t>Objective: Substance abuse is common among patients with schizophrenia, is related to</w:t>
      </w:r>
    </w:p>
    <w:p w:rsidR="000F1714" w:rsidRPr="000F1714" w:rsidRDefault="000F1714" w:rsidP="000F1714">
      <w:pPr>
        <w:bidi w:val="0"/>
      </w:pPr>
      <w:r w:rsidRPr="000F1714">
        <w:t>worse course and outcome of illness. Unfortunately, little is known about how substance</w:t>
      </w:r>
    </w:p>
    <w:p w:rsidR="000F1714" w:rsidRPr="000F1714" w:rsidRDefault="000F1714" w:rsidP="000F1714">
      <w:pPr>
        <w:bidi w:val="0"/>
      </w:pPr>
      <w:r w:rsidRPr="000F1714">
        <w:t>abuse affects the cognitive function of schizophrenia patients, whose cognitive function is</w:t>
      </w:r>
    </w:p>
    <w:p w:rsidR="000F1714" w:rsidRPr="000F1714" w:rsidRDefault="000F1714" w:rsidP="000F1714">
      <w:pPr>
        <w:bidi w:val="0"/>
      </w:pPr>
      <w:r w:rsidRPr="000F1714">
        <w:t>often already comprised. Neurocognitive functioning includes inhibition control and decision-</w:t>
      </w:r>
    </w:p>
    <w:p w:rsidR="000F1714" w:rsidRPr="000F1714" w:rsidRDefault="000F1714" w:rsidP="000F1714">
      <w:pPr>
        <w:bidi w:val="0"/>
      </w:pPr>
      <w:r w:rsidRPr="000F1714">
        <w:t>making, and both schizophrenia and substance use disorder are related to impairments</w:t>
      </w:r>
    </w:p>
    <w:p w:rsidR="000F1714" w:rsidRPr="000F1714" w:rsidRDefault="000F1714" w:rsidP="000F1714">
      <w:pPr>
        <w:bidi w:val="0"/>
      </w:pPr>
      <w:r w:rsidRPr="000F1714">
        <w:t xml:space="preserve">of inhibition control. However, the influence of substance </w:t>
      </w:r>
      <w:proofErr w:type="gramStart"/>
      <w:r w:rsidRPr="000F1714">
        <w:t>abuse</w:t>
      </w:r>
      <w:proofErr w:type="gramEnd"/>
      <w:r w:rsidRPr="000F1714">
        <w:t xml:space="preserve"> on inhibition capacities</w:t>
      </w:r>
    </w:p>
    <w:p w:rsidR="000F1714" w:rsidRPr="000F1714" w:rsidRDefault="000F1714" w:rsidP="000F1714">
      <w:pPr>
        <w:bidi w:val="0"/>
      </w:pPr>
      <w:r w:rsidRPr="000F1714">
        <w:t>among schizophrenia patients is unclear. Methods: This study measured the influence of</w:t>
      </w:r>
    </w:p>
    <w:p w:rsidR="000F1714" w:rsidRPr="000F1714" w:rsidRDefault="000F1714" w:rsidP="000F1714">
      <w:pPr>
        <w:bidi w:val="0"/>
      </w:pPr>
      <w:r w:rsidRPr="000F1714">
        <w:t>substance use disorder on inhibition capacities and risky decision-making in a group of 39</w:t>
      </w:r>
    </w:p>
    <w:p w:rsidR="000F1714" w:rsidRPr="000F1714" w:rsidRDefault="000F1714" w:rsidP="000F1714">
      <w:pPr>
        <w:bidi w:val="0"/>
      </w:pPr>
      <w:r w:rsidRPr="000F1714">
        <w:t>schizophrenia patients that were evaluated using a socio-demographic questionnaire and</w:t>
      </w:r>
    </w:p>
    <w:p w:rsidR="000F1714" w:rsidRPr="000F1714" w:rsidRDefault="000F1714" w:rsidP="000F1714">
      <w:pPr>
        <w:bidi w:val="0"/>
      </w:pPr>
      <w:r w:rsidRPr="000F1714">
        <w:t>clinical assessment using the Positive and Negative Syndromes Scale for Schizophrenia. To</w:t>
      </w:r>
    </w:p>
    <w:p w:rsidR="000F1714" w:rsidRPr="000F1714" w:rsidRDefault="000F1714" w:rsidP="000F1714">
      <w:pPr>
        <w:bidi w:val="0"/>
      </w:pPr>
      <w:r w:rsidRPr="000F1714">
        <w:t>assess inhibition control we utilized the Matching Familiar Figure Test (MFFT) and the</w:t>
      </w:r>
    </w:p>
    <w:p w:rsidR="000F1714" w:rsidRPr="000F1714" w:rsidRDefault="000F1714" w:rsidP="000F1714">
      <w:pPr>
        <w:bidi w:val="0"/>
      </w:pPr>
      <w:proofErr w:type="spellStart"/>
      <w:r w:rsidRPr="000F1714">
        <w:t>Stroop</w:t>
      </w:r>
      <w:proofErr w:type="spellEnd"/>
      <w:r w:rsidRPr="000F1714">
        <w:t xml:space="preserve"> task, and to evaluate decision-making we used the Iowa Gambling Task (IGT) and</w:t>
      </w:r>
    </w:p>
    <w:p w:rsidR="000F1714" w:rsidRPr="000F1714" w:rsidRDefault="000F1714" w:rsidP="000F1714">
      <w:pPr>
        <w:bidi w:val="0"/>
      </w:pPr>
      <w:r w:rsidRPr="000F1714">
        <w:t>self-report questionnaire, the Barratt Impulsiveness Scale. Results: Univariate analysis found</w:t>
      </w:r>
    </w:p>
    <w:p w:rsidR="000F1714" w:rsidRPr="000F1714" w:rsidRDefault="000F1714" w:rsidP="000F1714">
      <w:pPr>
        <w:bidi w:val="0"/>
      </w:pPr>
      <w:r w:rsidRPr="000F1714">
        <w:t>significant differences between the groups with regard to criminal history (v2</w:t>
      </w:r>
      <w:r w:rsidRPr="000F1714">
        <w:rPr>
          <w:rFonts w:hint="eastAsia"/>
        </w:rPr>
        <w:t>¼</w:t>
      </w:r>
      <w:r w:rsidRPr="000F1714">
        <w:t>5.97,</w:t>
      </w:r>
    </w:p>
    <w:p w:rsidR="000F1714" w:rsidRPr="000F1714" w:rsidRDefault="000F1714" w:rsidP="000F1714">
      <w:pPr>
        <w:bidi w:val="0"/>
      </w:pPr>
      <w:r w:rsidRPr="000F1714">
        <w:t>p</w:t>
      </w:r>
      <w:r w:rsidRPr="000F1714">
        <w:rPr>
          <w:rFonts w:hint="eastAsia"/>
        </w:rPr>
        <w:t>¼</w:t>
      </w:r>
      <w:r w:rsidRPr="000F1714">
        <w:t>.015), smoking status (v2</w:t>
      </w:r>
      <w:r w:rsidRPr="000F1714">
        <w:rPr>
          <w:rFonts w:hint="eastAsia"/>
        </w:rPr>
        <w:t>¼</w:t>
      </w:r>
      <w:r w:rsidRPr="000F1714">
        <w:t>12.30, p&lt;.001), and total BIS score (t</w:t>
      </w:r>
      <w:r w:rsidRPr="000F1714">
        <w:rPr>
          <w:rFonts w:hint="eastAsia"/>
        </w:rPr>
        <w:t>¼</w:t>
      </w:r>
      <w:r w:rsidRPr="000F1714">
        <w:t>_2.69, df</w:t>
      </w:r>
      <w:r w:rsidRPr="000F1714">
        <w:rPr>
          <w:rFonts w:hint="eastAsia"/>
        </w:rPr>
        <w:t>¼</w:t>
      </w:r>
      <w:r w:rsidRPr="000F1714">
        <w:t>37, p</w:t>
      </w:r>
      <w:r w:rsidRPr="000F1714">
        <w:rPr>
          <w:rFonts w:hint="eastAsia"/>
        </w:rPr>
        <w:t>¼</w:t>
      </w:r>
      <w:r w:rsidRPr="000F1714">
        <w:t>.01).</w:t>
      </w:r>
    </w:p>
    <w:p w:rsidR="000F1714" w:rsidRPr="000F1714" w:rsidRDefault="000F1714" w:rsidP="000F1714">
      <w:pPr>
        <w:bidi w:val="0"/>
      </w:pPr>
      <w:r w:rsidRPr="000F1714">
        <w:t>Our model did not find a significant effect of substance abuse on the first response time</w:t>
      </w:r>
    </w:p>
    <w:p w:rsidR="000F1714" w:rsidRPr="000F1714" w:rsidRDefault="000F1714" w:rsidP="000F1714">
      <w:pPr>
        <w:bidi w:val="0"/>
      </w:pPr>
      <w:r w:rsidRPr="000F1714">
        <w:t xml:space="preserve">and number of errors on the MFFT or in the total interference index of </w:t>
      </w:r>
      <w:proofErr w:type="spellStart"/>
      <w:r w:rsidRPr="000F1714">
        <w:t>Stroop</w:t>
      </w:r>
      <w:proofErr w:type="spellEnd"/>
      <w:r w:rsidRPr="000F1714">
        <w:t xml:space="preserve"> performance</w:t>
      </w:r>
    </w:p>
    <w:p w:rsidR="000F1714" w:rsidRPr="000F1714" w:rsidRDefault="000F1714" w:rsidP="000F1714">
      <w:pPr>
        <w:bidi w:val="0"/>
      </w:pPr>
      <w:r w:rsidRPr="000F1714">
        <w:t>and net score on risky decision-making in the IGT. The two groups did not differ significantly</w:t>
      </w:r>
    </w:p>
    <w:p w:rsidR="000F1714" w:rsidRPr="000F1714" w:rsidRDefault="000F1714" w:rsidP="000F1714">
      <w:pPr>
        <w:bidi w:val="0"/>
      </w:pPr>
      <w:r w:rsidRPr="000F1714">
        <w:t>either in first response time or in number of errors on the MFFT (F</w:t>
      </w:r>
      <w:r w:rsidRPr="000F1714">
        <w:rPr>
          <w:rFonts w:hint="eastAsia"/>
        </w:rPr>
        <w:t>¼</w:t>
      </w:r>
      <w:r w:rsidRPr="000F1714">
        <w:t>0.54, p</w:t>
      </w:r>
      <w:r w:rsidRPr="000F1714">
        <w:rPr>
          <w:rFonts w:hint="eastAsia"/>
        </w:rPr>
        <w:t>¼</w:t>
      </w:r>
      <w:r w:rsidRPr="000F1714">
        <w:t>.47,</w:t>
      </w:r>
    </w:p>
    <w:p w:rsidR="000F1714" w:rsidRPr="000F1714" w:rsidRDefault="000F1714" w:rsidP="000F1714">
      <w:pPr>
        <w:bidi w:val="0"/>
      </w:pPr>
      <w:r w:rsidRPr="000F1714">
        <w:t>d</w:t>
      </w:r>
      <w:r w:rsidRPr="000F1714">
        <w:rPr>
          <w:rFonts w:hint="eastAsia"/>
        </w:rPr>
        <w:t>¼</w:t>
      </w:r>
      <w:r w:rsidRPr="000F1714">
        <w:t>0.24, 95% CI [-0.4, 0.88]; F</w:t>
      </w:r>
      <w:r w:rsidRPr="000F1714">
        <w:rPr>
          <w:rFonts w:hint="eastAsia"/>
        </w:rPr>
        <w:t>¼</w:t>
      </w:r>
      <w:r w:rsidRPr="000F1714">
        <w:t>0.28, p</w:t>
      </w:r>
      <w:r w:rsidRPr="000F1714">
        <w:rPr>
          <w:rFonts w:hint="eastAsia"/>
        </w:rPr>
        <w:t>¼</w:t>
      </w:r>
      <w:r w:rsidRPr="000F1714">
        <w:t>.60, d</w:t>
      </w:r>
      <w:r w:rsidRPr="000F1714">
        <w:rPr>
          <w:rFonts w:hint="eastAsia"/>
        </w:rPr>
        <w:t>¼</w:t>
      </w:r>
      <w:r w:rsidRPr="000F1714">
        <w:t>0.61, 95% CI [0, 1.26], respectively), nor did</w:t>
      </w:r>
    </w:p>
    <w:p w:rsidR="000F1714" w:rsidRPr="000F1714" w:rsidRDefault="000F1714" w:rsidP="000F1714">
      <w:pPr>
        <w:bidi w:val="0"/>
      </w:pPr>
      <w:r w:rsidRPr="000F1714">
        <w:t xml:space="preserve">they differ in the total interference index of the </w:t>
      </w:r>
      <w:proofErr w:type="spellStart"/>
      <w:r w:rsidRPr="000F1714">
        <w:t>Stroop</w:t>
      </w:r>
      <w:proofErr w:type="spellEnd"/>
      <w:r w:rsidRPr="000F1714">
        <w:t xml:space="preserve"> task (</w:t>
      </w:r>
      <w:proofErr w:type="gramStart"/>
      <w:r w:rsidRPr="000F1714">
        <w:t>F(</w:t>
      </w:r>
      <w:proofErr w:type="gramEnd"/>
      <w:r w:rsidRPr="000F1714">
        <w:t>1)</w:t>
      </w:r>
      <w:r w:rsidRPr="000F1714">
        <w:rPr>
          <w:rFonts w:hint="eastAsia"/>
        </w:rPr>
        <w:t>¼</w:t>
      </w:r>
      <w:r w:rsidRPr="000F1714">
        <w:t>0.49, p</w:t>
      </w:r>
      <w:r w:rsidRPr="000F1714">
        <w:rPr>
          <w:rFonts w:hint="eastAsia"/>
        </w:rPr>
        <w:t>¼</w:t>
      </w:r>
      <w:r w:rsidRPr="000F1714">
        <w:t>.49, d</w:t>
      </w:r>
      <w:r w:rsidRPr="000F1714">
        <w:rPr>
          <w:rFonts w:hint="eastAsia"/>
        </w:rPr>
        <w:t>¼</w:t>
      </w:r>
      <w:r w:rsidRPr="000F1714">
        <w:t>0.25, 95%</w:t>
      </w:r>
    </w:p>
    <w:p w:rsidR="000F1714" w:rsidRPr="000F1714" w:rsidRDefault="000F1714" w:rsidP="000F1714">
      <w:pPr>
        <w:bidi w:val="0"/>
      </w:pPr>
      <w:r w:rsidRPr="000F1714">
        <w:t>CI [-0.38, 0.88]). Conclusion: The analyses did not detect any statistically significant effect of</w:t>
      </w:r>
    </w:p>
    <w:p w:rsidR="000F1714" w:rsidRPr="000F1714" w:rsidRDefault="000F1714" w:rsidP="000F1714">
      <w:pPr>
        <w:bidi w:val="0"/>
      </w:pPr>
      <w:r w:rsidRPr="000F1714">
        <w:t>substance abuse on inhibition control or risky decision-making processes in outpatients</w:t>
      </w:r>
    </w:p>
    <w:p w:rsidR="000F1714" w:rsidRPr="000F1714" w:rsidRDefault="000F1714" w:rsidP="000F1714">
      <w:pPr>
        <w:bidi w:val="0"/>
      </w:pPr>
      <w:r w:rsidRPr="000F1714">
        <w:t>diagnosed with schizophrenia, despite increased impulsivity, criminal history and smoking</w:t>
      </w:r>
    </w:p>
    <w:p w:rsidR="00485FA9" w:rsidRDefault="000F1714" w:rsidP="000F1714">
      <w:pPr>
        <w:bidi w:val="0"/>
      </w:pPr>
      <w:r w:rsidRPr="000F1714">
        <w:t>status. These results neither support nor disprove previous findings.</w:t>
      </w:r>
    </w:p>
    <w:p w:rsidR="00806AE1" w:rsidRDefault="00806AE1" w:rsidP="00806AE1">
      <w:pPr>
        <w:bidi w:val="0"/>
      </w:pPr>
    </w:p>
    <w:p w:rsidR="00806AE1" w:rsidRDefault="00806AE1" w:rsidP="00806AE1">
      <w:pPr>
        <w:bidi w:val="0"/>
      </w:pPr>
      <w:r>
        <w:t>References:</w:t>
      </w:r>
    </w:p>
    <w:p w:rsidR="00352868" w:rsidRDefault="00806AE1" w:rsidP="00352868">
      <w:pPr>
        <w:bidi w:val="0"/>
      </w:pPr>
      <w:bookmarkStart w:id="1" w:name="_ENREF_9"/>
      <w:proofErr w:type="spellStart"/>
      <w:r w:rsidRPr="00806AE1">
        <w:t>Enticott</w:t>
      </w:r>
      <w:proofErr w:type="spellEnd"/>
      <w:r w:rsidRPr="00806AE1">
        <w:t xml:space="preserve">, P. G., </w:t>
      </w:r>
      <w:proofErr w:type="spellStart"/>
      <w:r w:rsidRPr="00806AE1">
        <w:t>Ogloff</w:t>
      </w:r>
      <w:proofErr w:type="spellEnd"/>
      <w:r w:rsidRPr="00806AE1">
        <w:t xml:space="preserve">, J. R. P., &amp; Bradshaw, J. L. (2008). Response inhibition and impulsivity in schizophrenia. </w:t>
      </w:r>
      <w:r w:rsidRPr="00806AE1">
        <w:rPr>
          <w:i/>
        </w:rPr>
        <w:t>Psychiatry Res, 157</w:t>
      </w:r>
      <w:r w:rsidRPr="00806AE1">
        <w:t xml:space="preserve">(1), 251-254. </w:t>
      </w:r>
      <w:proofErr w:type="spellStart"/>
      <w:r w:rsidRPr="00806AE1">
        <w:t>doi</w:t>
      </w:r>
      <w:proofErr w:type="spellEnd"/>
      <w:r w:rsidRPr="00806AE1">
        <w:t xml:space="preserve">: </w:t>
      </w:r>
      <w:hyperlink r:id="rId4" w:history="1">
        <w:r w:rsidR="00352868" w:rsidRPr="002D1D86">
          <w:rPr>
            <w:rStyle w:val="Hyperlink"/>
          </w:rPr>
          <w:t>https://doi.org/10.1016/j.psychres.2007.04.007</w:t>
        </w:r>
      </w:hyperlink>
      <w:bookmarkStart w:id="2" w:name="_ENREF_24"/>
      <w:bookmarkEnd w:id="1"/>
    </w:p>
    <w:p w:rsidR="00806AE1" w:rsidRPr="00806AE1" w:rsidRDefault="00806AE1" w:rsidP="00352868">
      <w:pPr>
        <w:bidi w:val="0"/>
      </w:pPr>
      <w:proofErr w:type="spellStart"/>
      <w:r w:rsidRPr="00806AE1">
        <w:t>Løberg</w:t>
      </w:r>
      <w:proofErr w:type="spellEnd"/>
      <w:r w:rsidRPr="00806AE1">
        <w:t xml:space="preserve">, E.-M., &amp; </w:t>
      </w:r>
      <w:proofErr w:type="spellStart"/>
      <w:r w:rsidRPr="00806AE1">
        <w:t>Hugdahl</w:t>
      </w:r>
      <w:proofErr w:type="spellEnd"/>
      <w:r w:rsidRPr="00806AE1">
        <w:t xml:space="preserve">, K. (2009). Cannabis use and cognition in schizophrenia. </w:t>
      </w:r>
      <w:r w:rsidRPr="00806AE1">
        <w:rPr>
          <w:i/>
        </w:rPr>
        <w:t>Frontiers in human neuroscience, 3</w:t>
      </w:r>
      <w:r w:rsidRPr="00806AE1">
        <w:t xml:space="preserve">, 53-53. </w:t>
      </w:r>
      <w:proofErr w:type="spellStart"/>
      <w:r w:rsidRPr="00806AE1">
        <w:t>doi</w:t>
      </w:r>
      <w:proofErr w:type="spellEnd"/>
      <w:r w:rsidRPr="00806AE1">
        <w:t>: 10.3389/neuro.09.053.2009</w:t>
      </w:r>
      <w:bookmarkEnd w:id="2"/>
    </w:p>
    <w:p w:rsidR="00806AE1" w:rsidRPr="00806AE1" w:rsidRDefault="00806AE1" w:rsidP="00806AE1">
      <w:pPr>
        <w:bidi w:val="0"/>
        <w:rPr>
          <w:lang w:val="fr-FR"/>
        </w:rPr>
      </w:pPr>
      <w:bookmarkStart w:id="3" w:name="_ENREF_31"/>
      <w:r w:rsidRPr="00806AE1">
        <w:t xml:space="preserve">Rabin, R. A., </w:t>
      </w:r>
      <w:proofErr w:type="spellStart"/>
      <w:r w:rsidRPr="00806AE1">
        <w:t>Zakzanis</w:t>
      </w:r>
      <w:proofErr w:type="spellEnd"/>
      <w:r w:rsidRPr="00806AE1">
        <w:t xml:space="preserve">, K. K., &amp; George, T. P. (2011). The effects of cannabis use on </w:t>
      </w:r>
      <w:proofErr w:type="spellStart"/>
      <w:r w:rsidRPr="00806AE1">
        <w:t>neurocognition</w:t>
      </w:r>
      <w:proofErr w:type="spellEnd"/>
      <w:r w:rsidRPr="00806AE1">
        <w:t xml:space="preserve"> in schizophrenia: a meta-analysis. </w:t>
      </w:r>
      <w:proofErr w:type="spellStart"/>
      <w:r w:rsidRPr="00806AE1">
        <w:rPr>
          <w:i/>
          <w:lang w:val="fr-FR"/>
        </w:rPr>
        <w:t>Schizophr</w:t>
      </w:r>
      <w:proofErr w:type="spellEnd"/>
      <w:r w:rsidRPr="00806AE1">
        <w:rPr>
          <w:i/>
          <w:lang w:val="fr-FR"/>
        </w:rPr>
        <w:t xml:space="preserve"> </w:t>
      </w:r>
      <w:proofErr w:type="spellStart"/>
      <w:r w:rsidRPr="00806AE1">
        <w:rPr>
          <w:i/>
          <w:lang w:val="fr-FR"/>
        </w:rPr>
        <w:t>Res</w:t>
      </w:r>
      <w:proofErr w:type="spellEnd"/>
      <w:r w:rsidRPr="00806AE1">
        <w:rPr>
          <w:i/>
          <w:lang w:val="fr-FR"/>
        </w:rPr>
        <w:t>, 128</w:t>
      </w:r>
      <w:r w:rsidRPr="00806AE1">
        <w:rPr>
          <w:lang w:val="fr-FR"/>
        </w:rPr>
        <w:t xml:space="preserve">(1-3), 111-116. </w:t>
      </w:r>
      <w:proofErr w:type="spellStart"/>
      <w:proofErr w:type="gramStart"/>
      <w:r w:rsidRPr="00806AE1">
        <w:rPr>
          <w:lang w:val="fr-FR"/>
        </w:rPr>
        <w:t>doi</w:t>
      </w:r>
      <w:proofErr w:type="spellEnd"/>
      <w:r w:rsidRPr="00806AE1">
        <w:rPr>
          <w:lang w:val="fr-FR"/>
        </w:rPr>
        <w:t>:</w:t>
      </w:r>
      <w:proofErr w:type="gramEnd"/>
      <w:r w:rsidRPr="00806AE1">
        <w:rPr>
          <w:lang w:val="fr-FR"/>
        </w:rPr>
        <w:t xml:space="preserve"> 10.1016/j.schres.2011.02.017</w:t>
      </w:r>
      <w:bookmarkEnd w:id="3"/>
    </w:p>
    <w:p w:rsidR="00806AE1" w:rsidRPr="00806AE1" w:rsidRDefault="00806AE1" w:rsidP="00806AE1">
      <w:pPr>
        <w:bidi w:val="0"/>
      </w:pPr>
      <w:bookmarkStart w:id="4" w:name="_ENREF_2"/>
      <w:proofErr w:type="spellStart"/>
      <w:r w:rsidRPr="00806AE1">
        <w:rPr>
          <w:lang w:val="fr-FR"/>
        </w:rPr>
        <w:t>Badcock</w:t>
      </w:r>
      <w:proofErr w:type="spellEnd"/>
      <w:r w:rsidRPr="00806AE1">
        <w:rPr>
          <w:lang w:val="fr-FR"/>
        </w:rPr>
        <w:t xml:space="preserve">, J. C., </w:t>
      </w:r>
      <w:proofErr w:type="spellStart"/>
      <w:r w:rsidRPr="00806AE1">
        <w:rPr>
          <w:lang w:val="fr-FR"/>
        </w:rPr>
        <w:t>Michie</w:t>
      </w:r>
      <w:proofErr w:type="spellEnd"/>
      <w:r w:rsidRPr="00806AE1">
        <w:rPr>
          <w:lang w:val="fr-FR"/>
        </w:rPr>
        <w:t xml:space="preserve">, P. T., Johnson, L., &amp; </w:t>
      </w:r>
      <w:proofErr w:type="spellStart"/>
      <w:r w:rsidRPr="00806AE1">
        <w:rPr>
          <w:lang w:val="fr-FR"/>
        </w:rPr>
        <w:t>Combrinck</w:t>
      </w:r>
      <w:proofErr w:type="spellEnd"/>
      <w:r w:rsidRPr="00806AE1">
        <w:rPr>
          <w:lang w:val="fr-FR"/>
        </w:rPr>
        <w:t xml:space="preserve">, J. (2017). </w:t>
      </w:r>
      <w:r w:rsidRPr="00806AE1">
        <w:t xml:space="preserve">Acts of control in schizophrenia: dissociating the components of inhibition. </w:t>
      </w:r>
      <w:r w:rsidRPr="00806AE1">
        <w:rPr>
          <w:i/>
        </w:rPr>
        <w:t>Psychological Medicine, 32</w:t>
      </w:r>
      <w:r w:rsidRPr="00806AE1">
        <w:t xml:space="preserve">(2), 287-297. </w:t>
      </w:r>
      <w:proofErr w:type="spellStart"/>
      <w:r w:rsidRPr="00806AE1">
        <w:t>doi</w:t>
      </w:r>
      <w:proofErr w:type="spellEnd"/>
      <w:r w:rsidRPr="00806AE1">
        <w:t>: 10.1017/S0033291701005128</w:t>
      </w:r>
      <w:bookmarkEnd w:id="4"/>
    </w:p>
    <w:p w:rsidR="00806AE1" w:rsidRPr="00806AE1" w:rsidRDefault="00806AE1" w:rsidP="00806AE1">
      <w:pPr>
        <w:bidi w:val="0"/>
        <w:rPr>
          <w:lang w:val="fr-FR"/>
        </w:rPr>
      </w:pPr>
      <w:bookmarkStart w:id="5" w:name="_ENREF_14"/>
      <w:proofErr w:type="spellStart"/>
      <w:r w:rsidRPr="00806AE1">
        <w:t>Hoptman</w:t>
      </w:r>
      <w:proofErr w:type="spellEnd"/>
      <w:r w:rsidRPr="00806AE1">
        <w:t xml:space="preserve">, M. J., Parker, E. M., Nair-Collins, S., Dias, E. C., Ross, M. E., </w:t>
      </w:r>
      <w:proofErr w:type="spellStart"/>
      <w:r w:rsidRPr="00806AE1">
        <w:t>DiCostanzo</w:t>
      </w:r>
      <w:proofErr w:type="spellEnd"/>
      <w:r w:rsidRPr="00806AE1">
        <w:t xml:space="preserve">, J. N., . . . </w:t>
      </w:r>
      <w:proofErr w:type="spellStart"/>
      <w:r w:rsidRPr="00806AE1">
        <w:t>Javitt</w:t>
      </w:r>
      <w:proofErr w:type="spellEnd"/>
      <w:r w:rsidRPr="00806AE1">
        <w:t xml:space="preserve">, D. C. (2018). Sensory and cross-network contributions to response inhibition in patients with schizophrenia. </w:t>
      </w:r>
      <w:proofErr w:type="spellStart"/>
      <w:proofErr w:type="gramStart"/>
      <w:r w:rsidRPr="00806AE1">
        <w:rPr>
          <w:i/>
          <w:lang w:val="fr-FR"/>
        </w:rPr>
        <w:t>NeuroImage</w:t>
      </w:r>
      <w:proofErr w:type="spellEnd"/>
      <w:r w:rsidRPr="00806AE1">
        <w:rPr>
          <w:i/>
          <w:lang w:val="fr-FR"/>
        </w:rPr>
        <w:t>:</w:t>
      </w:r>
      <w:proofErr w:type="gramEnd"/>
      <w:r w:rsidRPr="00806AE1">
        <w:rPr>
          <w:i/>
          <w:lang w:val="fr-FR"/>
        </w:rPr>
        <w:t xml:space="preserve"> </w:t>
      </w:r>
      <w:proofErr w:type="spellStart"/>
      <w:r w:rsidRPr="00806AE1">
        <w:rPr>
          <w:i/>
          <w:lang w:val="fr-FR"/>
        </w:rPr>
        <w:t>Clinical</w:t>
      </w:r>
      <w:proofErr w:type="spellEnd"/>
      <w:r w:rsidRPr="00806AE1">
        <w:rPr>
          <w:i/>
          <w:lang w:val="fr-FR"/>
        </w:rPr>
        <w:t>, 18</w:t>
      </w:r>
      <w:r w:rsidRPr="00806AE1">
        <w:rPr>
          <w:lang w:val="fr-FR"/>
        </w:rPr>
        <w:t xml:space="preserve">, 31-39. </w:t>
      </w:r>
      <w:proofErr w:type="spellStart"/>
      <w:proofErr w:type="gramStart"/>
      <w:r w:rsidRPr="00806AE1">
        <w:rPr>
          <w:lang w:val="fr-FR"/>
        </w:rPr>
        <w:t>doi</w:t>
      </w:r>
      <w:proofErr w:type="spellEnd"/>
      <w:r w:rsidRPr="00806AE1">
        <w:rPr>
          <w:lang w:val="fr-FR"/>
        </w:rPr>
        <w:t>:</w:t>
      </w:r>
      <w:proofErr w:type="gramEnd"/>
      <w:r w:rsidRPr="00806AE1">
        <w:rPr>
          <w:lang w:val="fr-FR"/>
        </w:rPr>
        <w:t xml:space="preserve"> https://doi.org/10.1016/j.nicl.2018.01.001</w:t>
      </w:r>
      <w:bookmarkEnd w:id="5"/>
    </w:p>
    <w:p w:rsidR="00806AE1" w:rsidRPr="00806AE1" w:rsidRDefault="00806AE1" w:rsidP="00806AE1">
      <w:pPr>
        <w:bidi w:val="0"/>
      </w:pPr>
      <w:bookmarkStart w:id="6" w:name="_ENREF_10"/>
      <w:r w:rsidRPr="00806AE1">
        <w:rPr>
          <w:lang w:val="fr-FR"/>
        </w:rPr>
        <w:t xml:space="preserve">Ernst, M., &amp; Paulus, M. P. (2005). </w:t>
      </w:r>
      <w:r w:rsidRPr="00806AE1">
        <w:t xml:space="preserve">Neurobiology of Decision Making: A Selective Review from a Neurocognitive and Clinical Perspective. </w:t>
      </w:r>
      <w:proofErr w:type="spellStart"/>
      <w:r w:rsidRPr="00806AE1">
        <w:rPr>
          <w:i/>
        </w:rPr>
        <w:t>Biol</w:t>
      </w:r>
      <w:proofErr w:type="spellEnd"/>
      <w:r w:rsidRPr="00806AE1">
        <w:rPr>
          <w:i/>
        </w:rPr>
        <w:t xml:space="preserve"> Psychiatry, 58</w:t>
      </w:r>
      <w:r w:rsidRPr="00806AE1">
        <w:t xml:space="preserve">(8), 597-604. </w:t>
      </w:r>
      <w:proofErr w:type="spellStart"/>
      <w:r w:rsidRPr="00806AE1">
        <w:t>doi</w:t>
      </w:r>
      <w:proofErr w:type="spellEnd"/>
      <w:r w:rsidRPr="00806AE1">
        <w:t>: https://doi.org/10.1016/j.biopsych.2005.06.004</w:t>
      </w:r>
      <w:bookmarkEnd w:id="6"/>
    </w:p>
    <w:p w:rsidR="00806AE1" w:rsidRDefault="00806AE1" w:rsidP="00806AE1">
      <w:pPr>
        <w:bidi w:val="0"/>
      </w:pPr>
    </w:p>
    <w:sectPr w:rsidR="00806AE1" w:rsidSect="00AC2A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4F"/>
    <w:rsid w:val="000F1714"/>
    <w:rsid w:val="00352868"/>
    <w:rsid w:val="00485FA9"/>
    <w:rsid w:val="00806AE1"/>
    <w:rsid w:val="00AC2A30"/>
    <w:rsid w:val="00F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31FA"/>
  <w15:chartTrackingRefBased/>
  <w15:docId w15:val="{B5EA4CB8-3919-43C4-B95F-BB91C3A1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3528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1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psychres.2007.04.007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Pinhas Dannon</dc:creator>
  <cp:keywords/>
  <dc:description/>
  <cp:lastModifiedBy>Pinhas Dannon</cp:lastModifiedBy>
  <cp:revision>4</cp:revision>
  <dcterms:created xsi:type="dcterms:W3CDTF">2022-07-24T10:40:00Z</dcterms:created>
  <dcterms:modified xsi:type="dcterms:W3CDTF">2022-07-25T09:31:00Z</dcterms:modified>
</cp:coreProperties>
</file>