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57A06" w14:textId="09512C19" w:rsidR="00AE3E37" w:rsidRDefault="002E35BA" w:rsidP="00494130">
      <w:pPr>
        <w:pStyle w:val="Heading1"/>
        <w:spacing w:before="170"/>
        <w:ind w:left="0"/>
      </w:pPr>
      <w:r>
        <w:rPr>
          <w:color w:val="337AB7"/>
        </w:rPr>
        <w:t>S.E.R.V.E. Our Youth: Creating An Anti-knife Culture</w:t>
      </w:r>
    </w:p>
    <w:p w14:paraId="50C7292C" w14:textId="0D6605BC" w:rsidR="005973B9" w:rsidRDefault="00CD184B" w:rsidP="005973B9">
      <w:pPr>
        <w:pStyle w:val="BodyText"/>
        <w:spacing w:before="73" w:line="198" w:lineRule="exact"/>
        <w:ind w:left="100" w:right="5987"/>
        <w:rPr>
          <w:rFonts w:ascii="Arial"/>
        </w:rPr>
      </w:pPr>
      <w:r>
        <w:rPr>
          <w:rFonts w:ascii="Arial"/>
        </w:rPr>
        <w:t>MJ Maher Group Analyst London UK</w:t>
      </w:r>
    </w:p>
    <w:p w14:paraId="03835388" w14:textId="77777777" w:rsidR="00AE3E37" w:rsidRDefault="00AE3E37">
      <w:pPr>
        <w:pStyle w:val="BodyText"/>
        <w:rPr>
          <w:rFonts w:ascii="Arial"/>
          <w:sz w:val="20"/>
        </w:rPr>
      </w:pPr>
    </w:p>
    <w:p w14:paraId="60283403" w14:textId="77777777" w:rsidR="00AE3E37" w:rsidRDefault="00AE3E37">
      <w:pPr>
        <w:pStyle w:val="BodyText"/>
        <w:spacing w:before="3"/>
        <w:rPr>
          <w:rFonts w:ascii="Arial"/>
          <w:sz w:val="21"/>
        </w:rPr>
      </w:pPr>
    </w:p>
    <w:p w14:paraId="01604C5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65DFCCC" w14:textId="0132F4A0" w:rsidR="00AE3E37" w:rsidRDefault="00A9710C">
      <w:pPr>
        <w:pStyle w:val="Heading3"/>
        <w:spacing w:before="147"/>
        <w:jc w:val="both"/>
        <w:rPr>
          <w:color w:val="BF5A14"/>
        </w:rPr>
      </w:pPr>
      <w:r>
        <w:rPr>
          <w:color w:val="BF5A14"/>
        </w:rPr>
        <w:t>Abstract</w:t>
      </w:r>
      <w:r w:rsidR="00404E5B">
        <w:rPr>
          <w:color w:val="BF5A14"/>
        </w:rPr>
        <w:t xml:space="preserve"> (300 word limit)</w:t>
      </w:r>
    </w:p>
    <w:p w14:paraId="6C6D1C39" w14:textId="77777777" w:rsidR="00491FDB" w:rsidRPr="00491FDB" w:rsidRDefault="00491FDB" w:rsidP="00491FDB">
      <w:pPr>
        <w:widowControl/>
        <w:shd w:val="clear" w:color="auto" w:fill="FFFFFF"/>
        <w:spacing w:line="0" w:lineRule="auto"/>
        <w:rPr>
          <w:rFonts w:ascii="pg-1ff9" w:eastAsia="Times New Roman" w:hAnsi="pg-1ff9" w:cs="Times New Roman"/>
          <w:color w:val="000000"/>
          <w:sz w:val="66"/>
          <w:szCs w:val="66"/>
          <w:lang w:val="en-GB" w:eastAsia="en-GB"/>
        </w:rPr>
      </w:pPr>
      <w:r w:rsidRPr="00491FDB">
        <w:rPr>
          <w:rFonts w:ascii="pg-1ff9" w:eastAsia="Times New Roman" w:hAnsi="pg-1ff9" w:cs="Times New Roman"/>
          <w:color w:val="000000"/>
          <w:sz w:val="66"/>
          <w:szCs w:val="66"/>
          <w:lang w:val="en-GB" w:eastAsia="en-GB"/>
        </w:rPr>
        <w:t>Statement of the problem</w:t>
      </w:r>
      <w:r w:rsidRPr="00491FDB">
        <w:rPr>
          <w:rFonts w:ascii="pg-1ffe" w:eastAsia="Times New Roman" w:hAnsi="pg-1ffe" w:cs="Times New Roman"/>
          <w:color w:val="000000"/>
          <w:sz w:val="66"/>
          <w:szCs w:val="66"/>
          <w:lang w:val="en-GB" w:eastAsia="en-GB"/>
        </w:rPr>
        <w:t></w:t>
      </w:r>
    </w:p>
    <w:p w14:paraId="30E0BAE2"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 !</w:t>
      </w:r>
    </w:p>
    <w:p w14:paraId="386E3376"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w:t>
      </w:r>
    </w:p>
    <w:p w14:paraId="76B91B04"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&amp;'(</w:t>
      </w:r>
    </w:p>
    <w:p w14:paraId="364E70E6" w14:textId="77777777" w:rsidR="00491FDB" w:rsidRPr="00491FDB" w:rsidRDefault="00491FDB" w:rsidP="00491FDB">
      <w:pPr>
        <w:widowControl/>
        <w:shd w:val="clear" w:color="auto" w:fill="FFFFFF"/>
        <w:spacing w:line="0" w:lineRule="auto"/>
        <w:rPr>
          <w:rFonts w:ascii="pg-1ff9" w:eastAsia="Times New Roman" w:hAnsi="pg-1ff9" w:cs="Times New Roman"/>
          <w:color w:val="000000"/>
          <w:sz w:val="66"/>
          <w:szCs w:val="66"/>
          <w:lang w:val="en-GB" w:eastAsia="en-GB"/>
        </w:rPr>
      </w:pPr>
      <w:r w:rsidRPr="00491FDB">
        <w:rPr>
          <w:rFonts w:ascii="pg-1ff9" w:eastAsia="Times New Roman" w:hAnsi="pg-1ff9" w:cs="Times New Roman"/>
          <w:color w:val="000000"/>
          <w:sz w:val="66"/>
          <w:szCs w:val="66"/>
          <w:lang w:val="en-GB" w:eastAsia="en-GB"/>
        </w:rPr>
        <w:t>The purpose of the study:</w:t>
      </w:r>
      <w:r w:rsidRPr="00491FDB">
        <w:rPr>
          <w:rFonts w:ascii="pg-1ffe" w:eastAsia="Times New Roman" w:hAnsi="pg-1ffe" w:cs="Times New Roman"/>
          <w:color w:val="000000"/>
          <w:sz w:val="66"/>
          <w:szCs w:val="66"/>
          <w:lang w:val="en-GB" w:eastAsia="en-GB"/>
        </w:rPr>
        <w:t>)</w:t>
      </w:r>
      <w:r w:rsidRPr="00491FDB">
        <w:rPr>
          <w:rFonts w:ascii="pg-1ff13" w:eastAsia="Times New Roman" w:hAnsi="pg-1ff13" w:cs="Times New Roman"/>
          <w:color w:val="000000"/>
          <w:sz w:val="66"/>
          <w:szCs w:val="66"/>
          <w:lang w:val="en-GB" w:eastAsia="en-GB"/>
        </w:rPr>
        <w:t>S.E.R.V.E. Our Youth: Creang An An-knife Formula</w:t>
      </w:r>
      <w:r w:rsidRPr="00491FDB">
        <w:rPr>
          <w:rFonts w:ascii="pg-1ffe" w:eastAsia="Times New Roman" w:hAnsi="pg-1ffe" w:cs="Times New Roman"/>
          <w:color w:val="000000"/>
          <w:sz w:val="66"/>
          <w:szCs w:val="66"/>
          <w:lang w:val="en-GB" w:eastAsia="en-GB"/>
        </w:rPr>
        <w:t>*</w:t>
      </w:r>
    </w:p>
    <w:p w14:paraId="7A4DF88D"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 """</w:t>
      </w:r>
    </w:p>
    <w:p w14:paraId="1C4520A0" w14:textId="77777777" w:rsidR="00491FDB" w:rsidRPr="00491FDB" w:rsidRDefault="00491FDB" w:rsidP="00491FDB">
      <w:pPr>
        <w:widowControl/>
        <w:shd w:val="clear" w:color="auto" w:fill="FFFFFF"/>
        <w:spacing w:line="0" w:lineRule="auto"/>
        <w:rPr>
          <w:rFonts w:ascii="pg-1ffe" w:eastAsia="Times New Roman" w:hAnsi="pg-1ffe" w:cs="Times New Roman"/>
          <w:color w:val="FF0000"/>
          <w:sz w:val="66"/>
          <w:szCs w:val="66"/>
          <w:lang w:val="en-GB" w:eastAsia="en-GB"/>
        </w:rPr>
      </w:pPr>
      <w:r w:rsidRPr="00491FDB">
        <w:rPr>
          <w:rFonts w:ascii="pg-1ffe" w:eastAsia="Times New Roman" w:hAnsi="pg-1ffe" w:cs="Times New Roman"/>
          <w:color w:val="FF0000"/>
          <w:sz w:val="66"/>
          <w:szCs w:val="66"/>
          <w:lang w:val="en-GB" w:eastAsia="en-GB"/>
        </w:rPr>
        <w:t></w:t>
      </w:r>
      <w:r w:rsidRPr="00491FDB">
        <w:rPr>
          <w:rFonts w:ascii="pg-1ffe" w:eastAsia="Times New Roman" w:hAnsi="pg-1ffe" w:cs="Times New Roman"/>
          <w:color w:val="000000"/>
          <w:sz w:val="66"/>
          <w:szCs w:val="66"/>
          <w:lang w:val="en-GB" w:eastAsia="en-GB"/>
        </w:rPr>
        <w:t>%%</w:t>
      </w:r>
    </w:p>
    <w:p w14:paraId="23016714" w14:textId="77777777" w:rsidR="00491FDB" w:rsidRPr="00491FDB" w:rsidRDefault="00491FDB" w:rsidP="00491FDB">
      <w:pPr>
        <w:widowControl/>
        <w:shd w:val="clear" w:color="auto" w:fill="FFFFFF"/>
        <w:spacing w:line="0" w:lineRule="auto"/>
        <w:rPr>
          <w:rFonts w:ascii="pg-1ff9" w:eastAsia="Times New Roman" w:hAnsi="pg-1ff9" w:cs="Times New Roman"/>
          <w:color w:val="000000"/>
          <w:sz w:val="66"/>
          <w:szCs w:val="66"/>
          <w:lang w:val="en-GB" w:eastAsia="en-GB"/>
        </w:rPr>
      </w:pPr>
      <w:r w:rsidRPr="00491FDB">
        <w:rPr>
          <w:rFonts w:ascii="pg-1ff9" w:eastAsia="Times New Roman" w:hAnsi="pg-1ff9" w:cs="Times New Roman"/>
          <w:color w:val="000000"/>
          <w:sz w:val="66"/>
          <w:szCs w:val="66"/>
          <w:lang w:val="en-GB" w:eastAsia="en-GB"/>
        </w:rPr>
        <w:t>Methodology &amp; theorecal orientaon</w:t>
      </w:r>
      <w:r w:rsidRPr="00491FDB">
        <w:rPr>
          <w:rFonts w:ascii="pg-1ffe" w:eastAsia="Times New Roman" w:hAnsi="pg-1ffe" w:cs="Times New Roman"/>
          <w:color w:val="000000"/>
          <w:sz w:val="66"/>
          <w:szCs w:val="66"/>
          <w:lang w:val="en-GB" w:eastAsia="en-GB"/>
        </w:rPr>
        <w:t>+,""</w:t>
      </w:r>
    </w:p>
    <w:p w14:paraId="07DC32A6"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w:t>
      </w:r>
    </w:p>
    <w:p w14:paraId="258FCF9E"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w:t>
      </w:r>
      <w:r w:rsidRPr="00491FDB">
        <w:rPr>
          <w:rFonts w:ascii="pg-1ffe" w:eastAsia="Times New Roman" w:hAnsi="pg-1ffe" w:cs="Times New Roman"/>
          <w:color w:val="FF0000"/>
          <w:sz w:val="66"/>
          <w:szCs w:val="66"/>
          <w:lang w:val="en-GB" w:eastAsia="en-GB"/>
        </w:rPr>
        <w:t></w:t>
      </w:r>
      <w:r w:rsidRPr="00491FDB">
        <w:rPr>
          <w:rFonts w:ascii="pg-1ffe" w:eastAsia="Times New Roman" w:hAnsi="pg-1ffe" w:cs="Times New Roman"/>
          <w:color w:val="000000"/>
          <w:sz w:val="66"/>
          <w:szCs w:val="66"/>
          <w:lang w:val="en-GB" w:eastAsia="en-GB"/>
        </w:rPr>
        <w:t>01</w:t>
      </w:r>
    </w:p>
    <w:p w14:paraId="191C948D"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w:t>
      </w:r>
    </w:p>
    <w:p w14:paraId="787BA8E1" w14:textId="77777777" w:rsidR="00491FDB" w:rsidRPr="00491FDB" w:rsidRDefault="00491FDB" w:rsidP="00491FDB">
      <w:pPr>
        <w:widowControl/>
        <w:shd w:val="clear" w:color="auto" w:fill="FFFFFF"/>
        <w:spacing w:line="0" w:lineRule="auto"/>
        <w:rPr>
          <w:rFonts w:ascii="pg-1ff9" w:eastAsia="Times New Roman" w:hAnsi="pg-1ff9" w:cs="Times New Roman"/>
          <w:color w:val="000000"/>
          <w:sz w:val="66"/>
          <w:szCs w:val="66"/>
          <w:lang w:val="en-GB" w:eastAsia="en-GB"/>
        </w:rPr>
      </w:pPr>
      <w:r w:rsidRPr="00491FDB">
        <w:rPr>
          <w:rFonts w:ascii="pg-1ff9" w:eastAsia="Times New Roman" w:hAnsi="pg-1ff9" w:cs="Times New Roman"/>
          <w:color w:val="000000"/>
          <w:sz w:val="66"/>
          <w:szCs w:val="66"/>
          <w:lang w:val="en-GB" w:eastAsia="en-GB"/>
        </w:rPr>
        <w:t>S</w:t>
      </w:r>
      <w:r w:rsidRPr="00491FDB">
        <w:rPr>
          <w:rFonts w:ascii="pg-1ffe" w:eastAsia="Times New Roman" w:hAnsi="pg-1ffe" w:cs="Times New Roman"/>
          <w:color w:val="000000"/>
          <w:sz w:val="66"/>
          <w:szCs w:val="66"/>
          <w:lang w:val="en-GB" w:eastAsia="en-GB"/>
        </w:rPr>
        <w:t>"2*</w:t>
      </w:r>
      <w:r w:rsidRPr="00491FDB">
        <w:rPr>
          <w:rFonts w:ascii="pg-1ff13" w:eastAsia="Times New Roman" w:hAnsi="pg-1ff13" w:cs="Times New Roman"/>
          <w:color w:val="000000"/>
          <w:sz w:val="66"/>
          <w:szCs w:val="66"/>
          <w:lang w:val="en-GB" w:eastAsia="en-GB"/>
        </w:rPr>
        <w:t>The Eecve P.O.R.T.E.R. Strategy</w:t>
      </w:r>
      <w:r w:rsidRPr="00491FDB">
        <w:rPr>
          <w:rFonts w:ascii="pg-1ffe" w:eastAsia="Times New Roman" w:hAnsi="pg-1ffe" w:cs="Times New Roman"/>
          <w:color w:val="000000"/>
          <w:sz w:val="66"/>
          <w:szCs w:val="66"/>
          <w:lang w:val="en-GB" w:eastAsia="en-GB"/>
        </w:rPr>
        <w:t>3&amp;"</w:t>
      </w:r>
    </w:p>
    <w:p w14:paraId="3B0AC0C4"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w:t>
      </w:r>
    </w:p>
    <w:p w14:paraId="2691F0F4" w14:textId="77777777" w:rsidR="00491FDB" w:rsidRPr="00491FDB" w:rsidRDefault="00491FDB" w:rsidP="00491FDB">
      <w:pPr>
        <w:widowControl/>
        <w:shd w:val="clear" w:color="auto" w:fill="FFFFFF"/>
        <w:spacing w:line="0" w:lineRule="auto"/>
        <w:rPr>
          <w:rFonts w:ascii="pg-1ff9" w:eastAsia="Times New Roman" w:hAnsi="pg-1ff9" w:cs="Times New Roman"/>
          <w:color w:val="000000"/>
          <w:sz w:val="66"/>
          <w:szCs w:val="66"/>
          <w:lang w:val="en-GB" w:eastAsia="en-GB"/>
        </w:rPr>
      </w:pPr>
      <w:r w:rsidRPr="00491FDB">
        <w:rPr>
          <w:rFonts w:ascii="pg-1ff9" w:eastAsia="Times New Roman" w:hAnsi="pg-1ff9" w:cs="Times New Roman"/>
          <w:color w:val="000000"/>
          <w:sz w:val="66"/>
          <w:szCs w:val="66"/>
          <w:lang w:val="en-GB" w:eastAsia="en-GB"/>
        </w:rPr>
        <w:t>E</w:t>
      </w:r>
      <w:r w:rsidRPr="00491FDB">
        <w:rPr>
          <w:rFonts w:ascii="pg-1ffe" w:eastAsia="Times New Roman" w:hAnsi="pg-1ffe" w:cs="Times New Roman"/>
          <w:color w:val="000000"/>
          <w:sz w:val="66"/>
          <w:szCs w:val="66"/>
          <w:lang w:val="en-GB" w:eastAsia="en-GB"/>
        </w:rPr>
        <w:t>"2*</w:t>
      </w:r>
      <w:r w:rsidRPr="00491FDB">
        <w:rPr>
          <w:rFonts w:ascii="pg-1ff13" w:eastAsia="Times New Roman" w:hAnsi="pg-1ff13" w:cs="Times New Roman"/>
          <w:color w:val="000000"/>
          <w:sz w:val="66"/>
          <w:szCs w:val="66"/>
          <w:lang w:val="en-GB" w:eastAsia="en-GB"/>
        </w:rPr>
        <w:t>The State of Survival Strategy</w:t>
      </w:r>
      <w:r w:rsidRPr="00491FDB">
        <w:rPr>
          <w:rFonts w:ascii="pg-1ffe" w:eastAsia="Times New Roman" w:hAnsi="pg-1ffe" w:cs="Times New Roman"/>
          <w:color w:val="000000"/>
          <w:sz w:val="66"/>
          <w:szCs w:val="66"/>
          <w:lang w:val="en-GB" w:eastAsia="en-GB"/>
        </w:rPr>
        <w:t>*</w:t>
      </w:r>
    </w:p>
    <w:p w14:paraId="47D57AA3"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w:t>
      </w:r>
    </w:p>
    <w:p w14:paraId="63CE8951"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4"%&amp;</w:t>
      </w:r>
    </w:p>
    <w:p w14:paraId="0576DAEC" w14:textId="77777777" w:rsidR="00491FDB" w:rsidRPr="00491FDB" w:rsidRDefault="00491FDB" w:rsidP="00491FDB">
      <w:pPr>
        <w:widowControl/>
        <w:shd w:val="clear" w:color="auto" w:fill="FFFFFF"/>
        <w:spacing w:line="0" w:lineRule="auto"/>
        <w:rPr>
          <w:rFonts w:ascii="pg-1ff9" w:eastAsia="Times New Roman" w:hAnsi="pg-1ff9" w:cs="Times New Roman"/>
          <w:color w:val="000000"/>
          <w:sz w:val="66"/>
          <w:szCs w:val="66"/>
          <w:lang w:val="en-GB" w:eastAsia="en-GB"/>
        </w:rPr>
      </w:pPr>
      <w:r w:rsidRPr="00491FDB">
        <w:rPr>
          <w:rFonts w:ascii="pg-1ff9" w:eastAsia="Times New Roman" w:hAnsi="pg-1ff9" w:cs="Times New Roman"/>
          <w:color w:val="000000"/>
          <w:sz w:val="66"/>
          <w:szCs w:val="66"/>
          <w:lang w:val="en-GB" w:eastAsia="en-GB"/>
        </w:rPr>
        <w:t>R</w:t>
      </w:r>
      <w:r w:rsidRPr="00491FDB">
        <w:rPr>
          <w:rFonts w:ascii="pg-1ffe" w:eastAsia="Times New Roman" w:hAnsi="pg-1ffe" w:cs="Times New Roman"/>
          <w:color w:val="000000"/>
          <w:sz w:val="66"/>
          <w:szCs w:val="66"/>
          <w:lang w:val="en-GB" w:eastAsia="en-GB"/>
        </w:rPr>
        <w:t>25*</w:t>
      </w:r>
      <w:r w:rsidRPr="00491FDB">
        <w:rPr>
          <w:rFonts w:ascii="pg-1ff13" w:eastAsia="Times New Roman" w:hAnsi="pg-1ff13" w:cs="Times New Roman"/>
          <w:color w:val="000000"/>
          <w:sz w:val="66"/>
          <w:szCs w:val="66"/>
          <w:lang w:val="en-GB" w:eastAsia="en-GB"/>
        </w:rPr>
        <w:t>The Digesble Investment Direcve</w:t>
      </w:r>
      <w:r w:rsidRPr="00491FDB">
        <w:rPr>
          <w:rFonts w:ascii="pg-1ffe" w:eastAsia="Times New Roman" w:hAnsi="pg-1ffe" w:cs="Times New Roman"/>
          <w:color w:val="000000"/>
          <w:sz w:val="66"/>
          <w:szCs w:val="66"/>
          <w:lang w:val="en-GB" w:eastAsia="en-GB"/>
        </w:rPr>
        <w:t>3</w:t>
      </w:r>
    </w:p>
    <w:p w14:paraId="3BB931D4"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w:t>
      </w:r>
    </w:p>
    <w:p w14:paraId="4AB95E4B"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w:t>
      </w:r>
    </w:p>
    <w:p w14:paraId="446339A3" w14:textId="77777777" w:rsidR="00491FDB" w:rsidRPr="00491FDB" w:rsidRDefault="00491FDB" w:rsidP="00491FDB">
      <w:pPr>
        <w:widowControl/>
        <w:shd w:val="clear" w:color="auto" w:fill="FFFFFF"/>
        <w:spacing w:line="0" w:lineRule="auto"/>
        <w:rPr>
          <w:rFonts w:ascii="pg-1ff9" w:eastAsia="Times New Roman" w:hAnsi="pg-1ff9" w:cs="Times New Roman"/>
          <w:color w:val="000000"/>
          <w:sz w:val="66"/>
          <w:szCs w:val="66"/>
          <w:lang w:val="en-GB" w:eastAsia="en-GB"/>
        </w:rPr>
      </w:pPr>
      <w:r w:rsidRPr="00491FDB">
        <w:rPr>
          <w:rFonts w:ascii="pg-1ff9" w:eastAsia="Times New Roman" w:hAnsi="pg-1ff9" w:cs="Times New Roman"/>
          <w:color w:val="000000"/>
          <w:sz w:val="66"/>
          <w:szCs w:val="66"/>
          <w:lang w:val="en-GB" w:eastAsia="en-GB"/>
        </w:rPr>
        <w:t>V</w:t>
      </w:r>
      <w:r w:rsidRPr="00491FDB">
        <w:rPr>
          <w:rFonts w:ascii="pg-1ffe" w:eastAsia="Times New Roman" w:hAnsi="pg-1ffe" w:cs="Times New Roman"/>
          <w:color w:val="000000"/>
          <w:sz w:val="66"/>
          <w:szCs w:val="66"/>
          <w:lang w:val="en-GB" w:eastAsia="en-GB"/>
        </w:rPr>
        <w:t>2-3</w:t>
      </w:r>
      <w:r w:rsidRPr="00491FDB">
        <w:rPr>
          <w:rFonts w:ascii="pg-1ff13" w:eastAsia="Times New Roman" w:hAnsi="pg-1ff13" w:cs="Times New Roman"/>
          <w:color w:val="000000"/>
          <w:sz w:val="66"/>
          <w:szCs w:val="66"/>
          <w:lang w:val="en-GB" w:eastAsia="en-GB"/>
        </w:rPr>
        <w:t>The Game Changer Challenge</w:t>
      </w:r>
      <w:r w:rsidRPr="00491FDB">
        <w:rPr>
          <w:rFonts w:ascii="pg-1ffe" w:eastAsia="Times New Roman" w:hAnsi="pg-1ffe" w:cs="Times New Roman"/>
          <w:color w:val="000000"/>
          <w:sz w:val="66"/>
          <w:szCs w:val="66"/>
          <w:lang w:val="en-GB" w:eastAsia="en-GB"/>
        </w:rPr>
        <w:t>*6"</w:t>
      </w:r>
    </w:p>
    <w:p w14:paraId="2DA70C9D"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w:t>
      </w:r>
    </w:p>
    <w:p w14:paraId="7C9BBA2C"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w:t>
      </w:r>
    </w:p>
    <w:p w14:paraId="7D4233B3" w14:textId="77777777" w:rsidR="00491FDB" w:rsidRPr="00491FDB" w:rsidRDefault="00491FDB" w:rsidP="00491FDB">
      <w:pPr>
        <w:widowControl/>
        <w:shd w:val="clear" w:color="auto" w:fill="FFFFFF"/>
        <w:spacing w:line="0" w:lineRule="auto"/>
        <w:rPr>
          <w:rFonts w:ascii="pg-1ff9" w:eastAsia="Times New Roman" w:hAnsi="pg-1ff9" w:cs="Times New Roman"/>
          <w:color w:val="000000"/>
          <w:sz w:val="66"/>
          <w:szCs w:val="66"/>
          <w:lang w:val="en-GB" w:eastAsia="en-GB"/>
        </w:rPr>
      </w:pPr>
      <w:r w:rsidRPr="00491FDB">
        <w:rPr>
          <w:rFonts w:ascii="pg-1ff9" w:eastAsia="Times New Roman" w:hAnsi="pg-1ff9" w:cs="Times New Roman"/>
          <w:color w:val="000000"/>
          <w:sz w:val="66"/>
          <w:szCs w:val="66"/>
          <w:lang w:val="en-GB" w:eastAsia="en-GB"/>
        </w:rPr>
        <w:t>E</w:t>
      </w:r>
      <w:r w:rsidRPr="00491FDB">
        <w:rPr>
          <w:rFonts w:ascii="pg-1ffe" w:eastAsia="Times New Roman" w:hAnsi="pg-1ffe" w:cs="Times New Roman"/>
          <w:color w:val="000000"/>
          <w:sz w:val="66"/>
          <w:szCs w:val="66"/>
          <w:lang w:val="en-GB" w:eastAsia="en-GB"/>
        </w:rPr>
        <w:t>&amp;2.3</w:t>
      </w:r>
      <w:r w:rsidRPr="00491FDB">
        <w:rPr>
          <w:rFonts w:ascii="pg-1ff13" w:eastAsia="Times New Roman" w:hAnsi="pg-1ff13" w:cs="Times New Roman"/>
          <w:color w:val="000000"/>
          <w:sz w:val="66"/>
          <w:szCs w:val="66"/>
          <w:lang w:val="en-GB" w:eastAsia="en-GB"/>
        </w:rPr>
        <w:t>The Dig Deep S.P.A.D.E. Soluon</w:t>
      </w:r>
      <w:r w:rsidRPr="00491FDB">
        <w:rPr>
          <w:rFonts w:ascii="pg-1ffe" w:eastAsia="Times New Roman" w:hAnsi="pg-1ffe" w:cs="Times New Roman"/>
          <w:color w:val="000000"/>
          <w:sz w:val="66"/>
          <w:szCs w:val="66"/>
          <w:lang w:val="en-GB" w:eastAsia="en-GB"/>
        </w:rPr>
        <w:t>3&amp;"</w:t>
      </w:r>
    </w:p>
    <w:p w14:paraId="6FC654D5"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%7</w:t>
      </w:r>
      <w:r w:rsidRPr="00491FDB">
        <w:rPr>
          <w:rFonts w:ascii="pg-1ffe" w:eastAsia="Times New Roman" w:hAnsi="pg-1ffe" w:cs="Times New Roman"/>
          <w:color w:val="FF0000"/>
          <w:sz w:val="66"/>
          <w:szCs w:val="66"/>
          <w:lang w:val="en-GB" w:eastAsia="en-GB"/>
        </w:rPr>
        <w:t></w:t>
      </w:r>
      <w:r w:rsidRPr="00491FDB">
        <w:rPr>
          <w:rFonts w:ascii="pg-1ffe" w:eastAsia="Times New Roman" w:hAnsi="pg-1ffe" w:cs="Times New Roman"/>
          <w:color w:val="000000"/>
          <w:sz w:val="66"/>
          <w:szCs w:val="66"/>
          <w:lang w:val="en-GB" w:eastAsia="en-GB"/>
        </w:rPr>
        <w:t>0"14"</w:t>
      </w:r>
    </w:p>
    <w:p w14:paraId="26B1647E" w14:textId="77777777" w:rsidR="00491FDB" w:rsidRPr="00491FDB" w:rsidRDefault="00491FDB" w:rsidP="00491FDB">
      <w:pPr>
        <w:widowControl/>
        <w:shd w:val="clear" w:color="auto" w:fill="FFFFFF"/>
        <w:spacing w:line="0" w:lineRule="auto"/>
        <w:rPr>
          <w:rFonts w:ascii="pg-1ffe" w:eastAsia="Times New Roman" w:hAnsi="pg-1ffe" w:cs="Times New Roman"/>
          <w:color w:val="000000"/>
          <w:sz w:val="66"/>
          <w:szCs w:val="66"/>
          <w:lang w:val="en-GB" w:eastAsia="en-GB"/>
        </w:rPr>
      </w:pPr>
      <w:r w:rsidRPr="00491FDB">
        <w:rPr>
          <w:rFonts w:ascii="pg-1ffe" w:eastAsia="Times New Roman" w:hAnsi="pg-1ffe" w:cs="Times New Roman"/>
          <w:color w:val="000000"/>
          <w:sz w:val="66"/>
          <w:szCs w:val="66"/>
          <w:lang w:val="en-GB" w:eastAsia="en-GB"/>
        </w:rPr>
        <w:t>*8"</w:t>
      </w:r>
    </w:p>
    <w:p w14:paraId="5098A1D7" w14:textId="77777777" w:rsidR="00491FDB" w:rsidRPr="00FA4749" w:rsidRDefault="00491FDB" w:rsidP="00491FDB">
      <w:pPr>
        <w:rPr>
          <w:sz w:val="18"/>
          <w:szCs w:val="18"/>
        </w:rPr>
      </w:pPr>
      <w:r w:rsidRPr="00FA4749">
        <w:rPr>
          <w:b/>
          <w:bCs/>
          <w:sz w:val="18"/>
          <w:szCs w:val="18"/>
        </w:rPr>
        <w:t>Statement of the problem</w:t>
      </w:r>
      <w:r w:rsidRPr="00FA4749">
        <w:rPr>
          <w:sz w:val="18"/>
          <w:szCs w:val="18"/>
        </w:rPr>
        <w:t>: Knife crime is on the rise in the UK. Children as young as 12 years of age are getting caught up in a diverse web of class, race, gender, and cultural differences.  Safeguarding institutions often blinded by prejudice, focus on thrusting this live snake out of their back gardens, leaving our children exposed and trapped in the gap. How can we bridge this gap?</w:t>
      </w:r>
    </w:p>
    <w:p w14:paraId="0A859AA3" w14:textId="769F6C92" w:rsidR="00491FDB" w:rsidRPr="00FA4749" w:rsidRDefault="00491FDB" w:rsidP="00491FDB">
      <w:pPr>
        <w:rPr>
          <w:sz w:val="18"/>
          <w:szCs w:val="18"/>
        </w:rPr>
      </w:pPr>
      <w:r w:rsidRPr="00FA4749">
        <w:rPr>
          <w:b/>
          <w:bCs/>
          <w:sz w:val="18"/>
          <w:szCs w:val="18"/>
        </w:rPr>
        <w:t>The purpose of the study:</w:t>
      </w:r>
      <w:r w:rsidRPr="00FA4749">
        <w:rPr>
          <w:sz w:val="18"/>
          <w:szCs w:val="18"/>
        </w:rPr>
        <w:t xml:space="preserve"> I created a </w:t>
      </w:r>
      <w:r w:rsidRPr="00FA4749">
        <w:rPr>
          <w:b/>
          <w:bCs/>
          <w:i/>
          <w:iCs/>
          <w:sz w:val="18"/>
          <w:szCs w:val="18"/>
        </w:rPr>
        <w:t>S.E.R.V.E. Our Youth: Creating An Anti-knife Formula</w:t>
      </w:r>
      <w:r w:rsidRPr="00FA4749">
        <w:rPr>
          <w:sz w:val="18"/>
          <w:szCs w:val="18"/>
        </w:rPr>
        <w:t>, an</w:t>
      </w:r>
      <w:r w:rsidR="00F418EC">
        <w:rPr>
          <w:sz w:val="18"/>
          <w:szCs w:val="18"/>
        </w:rPr>
        <w:t xml:space="preserve"> </w:t>
      </w:r>
      <w:r w:rsidRPr="00FA4749">
        <w:rPr>
          <w:sz w:val="18"/>
          <w:szCs w:val="18"/>
        </w:rPr>
        <w:t>on-going research on effective psychotherapeutic interventions that support challenged professionals - therapists, police, teachers, social workers, and youth workers.</w:t>
      </w:r>
    </w:p>
    <w:p w14:paraId="428A1769" w14:textId="77777777" w:rsidR="00491FDB" w:rsidRPr="00FA4749" w:rsidRDefault="00491FDB" w:rsidP="00491FDB">
      <w:pPr>
        <w:rPr>
          <w:sz w:val="18"/>
          <w:szCs w:val="18"/>
        </w:rPr>
      </w:pPr>
      <w:r w:rsidRPr="00FA4749">
        <w:rPr>
          <w:b/>
          <w:bCs/>
          <w:sz w:val="18"/>
          <w:szCs w:val="18"/>
        </w:rPr>
        <w:t>Methodology &amp; theoretical orientation</w:t>
      </w:r>
      <w:r w:rsidRPr="00FA4749">
        <w:rPr>
          <w:sz w:val="18"/>
          <w:szCs w:val="18"/>
        </w:rPr>
        <w:t xml:space="preserve">: This qualitative research values the multimethod approach to capture some of the reality using several methods: a 45-minute webinar, questionnaires, vignettes, face-to-face interviews, literature research and 12 training videos using psychoanalytic concepts:  </w:t>
      </w:r>
    </w:p>
    <w:p w14:paraId="46B0F9D3" w14:textId="450340A4" w:rsidR="00491FDB" w:rsidRPr="00FA4749" w:rsidRDefault="00491FDB" w:rsidP="00491FDB">
      <w:pPr>
        <w:rPr>
          <w:sz w:val="18"/>
          <w:szCs w:val="18"/>
        </w:rPr>
      </w:pPr>
      <w:r w:rsidRPr="00FA4749">
        <w:rPr>
          <w:b/>
          <w:bCs/>
          <w:sz w:val="18"/>
          <w:szCs w:val="18"/>
        </w:rPr>
        <w:t>S</w:t>
      </w:r>
      <w:r w:rsidRPr="00FA4749">
        <w:rPr>
          <w:sz w:val="18"/>
          <w:szCs w:val="18"/>
        </w:rPr>
        <w:t xml:space="preserve">ensitivity: Module 1 - </w:t>
      </w:r>
      <w:r w:rsidRPr="00FA4749">
        <w:rPr>
          <w:b/>
          <w:bCs/>
          <w:i/>
          <w:iCs/>
          <w:sz w:val="18"/>
          <w:szCs w:val="18"/>
        </w:rPr>
        <w:t>The Effective P.O.R.T.E.R. Strategy</w:t>
      </w:r>
      <w:r w:rsidRPr="00FA4749">
        <w:rPr>
          <w:sz w:val="18"/>
          <w:szCs w:val="18"/>
        </w:rPr>
        <w:t xml:space="preserve"> – explores personal and </w:t>
      </w:r>
      <w:r w:rsidR="00FA4749" w:rsidRPr="00FA4749">
        <w:rPr>
          <w:sz w:val="18"/>
          <w:szCs w:val="18"/>
        </w:rPr>
        <w:t>organizational</w:t>
      </w:r>
      <w:r w:rsidRPr="00FA4749">
        <w:rPr>
          <w:sz w:val="18"/>
          <w:szCs w:val="18"/>
        </w:rPr>
        <w:t xml:space="preserve"> barriers to sensitivity and how to improve communication skills.  </w:t>
      </w:r>
    </w:p>
    <w:p w14:paraId="0E6CF5F6" w14:textId="00FA0BA1" w:rsidR="00491FDB" w:rsidRPr="00FA4749" w:rsidRDefault="00491FDB" w:rsidP="00491FDB">
      <w:pPr>
        <w:rPr>
          <w:sz w:val="18"/>
          <w:szCs w:val="18"/>
        </w:rPr>
      </w:pPr>
      <w:r w:rsidRPr="00FA4749">
        <w:rPr>
          <w:b/>
          <w:bCs/>
          <w:sz w:val="18"/>
          <w:szCs w:val="18"/>
        </w:rPr>
        <w:t>E</w:t>
      </w:r>
      <w:r w:rsidRPr="00FA4749">
        <w:rPr>
          <w:sz w:val="18"/>
          <w:szCs w:val="18"/>
        </w:rPr>
        <w:t>motional: Module 2 -</w:t>
      </w:r>
      <w:r w:rsidRPr="00FA4749">
        <w:rPr>
          <w:b/>
          <w:bCs/>
          <w:i/>
          <w:iCs/>
          <w:sz w:val="18"/>
          <w:szCs w:val="18"/>
        </w:rPr>
        <w:t>The State of Survival Strategy</w:t>
      </w:r>
      <w:r w:rsidRPr="00FA4749">
        <w:rPr>
          <w:sz w:val="18"/>
          <w:szCs w:val="18"/>
        </w:rPr>
        <w:t xml:space="preserve"> - addresses common </w:t>
      </w:r>
      <w:r w:rsidR="00FA4749" w:rsidRPr="00FA4749">
        <w:rPr>
          <w:sz w:val="18"/>
          <w:szCs w:val="18"/>
        </w:rPr>
        <w:t>defense</w:t>
      </w:r>
      <w:r w:rsidR="00FA4749">
        <w:rPr>
          <w:sz w:val="18"/>
          <w:szCs w:val="18"/>
        </w:rPr>
        <w:t xml:space="preserve"> mechanisms</w:t>
      </w:r>
      <w:r w:rsidRPr="00FA4749">
        <w:rPr>
          <w:sz w:val="18"/>
          <w:szCs w:val="18"/>
        </w:rPr>
        <w:t xml:space="preserve"> youths engage to protect themselves but are likely to evoke counter-transference responses from professionals unable to read the youth’s communication of their unspeakable experiences.  </w:t>
      </w:r>
    </w:p>
    <w:p w14:paraId="05249DD6" w14:textId="77777777" w:rsidR="00491FDB" w:rsidRPr="00FA4749" w:rsidRDefault="00491FDB" w:rsidP="00491FDB">
      <w:pPr>
        <w:rPr>
          <w:sz w:val="18"/>
          <w:szCs w:val="18"/>
        </w:rPr>
      </w:pPr>
      <w:r w:rsidRPr="00FA4749">
        <w:rPr>
          <w:b/>
          <w:bCs/>
          <w:sz w:val="18"/>
          <w:szCs w:val="18"/>
        </w:rPr>
        <w:t>R</w:t>
      </w:r>
      <w:r w:rsidRPr="00FA4749">
        <w:rPr>
          <w:sz w:val="18"/>
          <w:szCs w:val="18"/>
        </w:rPr>
        <w:t xml:space="preserve">esponsibility: Module 3 - </w:t>
      </w:r>
      <w:r w:rsidRPr="00FA4749">
        <w:rPr>
          <w:b/>
          <w:bCs/>
          <w:i/>
          <w:iCs/>
          <w:sz w:val="18"/>
          <w:szCs w:val="18"/>
        </w:rPr>
        <w:t>The Digestible Investment Directive</w:t>
      </w:r>
      <w:r w:rsidRPr="00FA4749">
        <w:rPr>
          <w:sz w:val="18"/>
          <w:szCs w:val="18"/>
        </w:rPr>
        <w:t xml:space="preserve"> – discusses what hinders youths from accepting responsibility, how professionals can invest in skills akin to presenting a meal that can be consumed one mouthful at a time.</w:t>
      </w:r>
    </w:p>
    <w:p w14:paraId="68C7C872" w14:textId="0CA55319" w:rsidR="00491FDB" w:rsidRPr="00FA4749" w:rsidRDefault="00491FDB" w:rsidP="00491FDB">
      <w:pPr>
        <w:rPr>
          <w:sz w:val="18"/>
          <w:szCs w:val="18"/>
        </w:rPr>
      </w:pPr>
      <w:r w:rsidRPr="00FA4749">
        <w:rPr>
          <w:b/>
          <w:bCs/>
          <w:sz w:val="18"/>
          <w:szCs w:val="18"/>
        </w:rPr>
        <w:t>V</w:t>
      </w:r>
      <w:r w:rsidRPr="00FA4749">
        <w:rPr>
          <w:sz w:val="18"/>
          <w:szCs w:val="18"/>
        </w:rPr>
        <w:t xml:space="preserve">ictor: Module 4 – </w:t>
      </w:r>
      <w:r w:rsidRPr="00FA4749">
        <w:rPr>
          <w:b/>
          <w:bCs/>
          <w:i/>
          <w:iCs/>
          <w:sz w:val="18"/>
          <w:szCs w:val="18"/>
        </w:rPr>
        <w:t>The Game Changer Challenge</w:t>
      </w:r>
      <w:r w:rsidRPr="00FA4749">
        <w:rPr>
          <w:sz w:val="18"/>
          <w:szCs w:val="18"/>
        </w:rPr>
        <w:t xml:space="preserve"> - A commonly held myth is that all victims end up being perpetrators. In this module we aim to change negative outcomes for youth, moving them from victims to victors.</w:t>
      </w:r>
    </w:p>
    <w:p w14:paraId="5361B5F9" w14:textId="3748A846" w:rsidR="00491FDB" w:rsidRPr="00FA4749" w:rsidRDefault="00491FDB" w:rsidP="00491FDB">
      <w:pPr>
        <w:rPr>
          <w:sz w:val="18"/>
          <w:szCs w:val="18"/>
        </w:rPr>
      </w:pPr>
      <w:r w:rsidRPr="00FA4749">
        <w:rPr>
          <w:b/>
          <w:bCs/>
          <w:sz w:val="18"/>
          <w:szCs w:val="18"/>
        </w:rPr>
        <w:t>E</w:t>
      </w:r>
      <w:r w:rsidRPr="00FA4749">
        <w:rPr>
          <w:sz w:val="18"/>
          <w:szCs w:val="18"/>
        </w:rPr>
        <w:t xml:space="preserve">xclusion: Module 5 – </w:t>
      </w:r>
      <w:r w:rsidRPr="00FA4749">
        <w:rPr>
          <w:b/>
          <w:bCs/>
          <w:i/>
          <w:iCs/>
          <w:sz w:val="18"/>
          <w:szCs w:val="18"/>
        </w:rPr>
        <w:t>The Dig Deep S.P.A.D.E. Solution</w:t>
      </w:r>
      <w:r w:rsidRPr="00FA4749">
        <w:rPr>
          <w:sz w:val="18"/>
          <w:szCs w:val="18"/>
        </w:rPr>
        <w:t xml:space="preserve"> – explores some solutions to what perpetuates knife culture; separating mental health diagnosis from Klein’s positions e.g., paranoid-schizoid position from paranoia</w:t>
      </w:r>
      <w:r w:rsidR="00FA4749">
        <w:rPr>
          <w:sz w:val="18"/>
          <w:szCs w:val="18"/>
        </w:rPr>
        <w:t xml:space="preserve"> and schizophrenia</w:t>
      </w:r>
      <w:r w:rsidRPr="00FA4749">
        <w:rPr>
          <w:sz w:val="18"/>
          <w:szCs w:val="18"/>
        </w:rPr>
        <w:t xml:space="preserve">. </w:t>
      </w:r>
    </w:p>
    <w:p w14:paraId="668EF542" w14:textId="77777777" w:rsidR="00491FDB" w:rsidRPr="00FA4749" w:rsidRDefault="00491FDB" w:rsidP="00491FDB">
      <w:pPr>
        <w:rPr>
          <w:sz w:val="18"/>
          <w:szCs w:val="18"/>
        </w:rPr>
      </w:pPr>
    </w:p>
    <w:p w14:paraId="3EB811BA" w14:textId="519319DA" w:rsidR="00AE3E37" w:rsidRDefault="00AE3E37">
      <w:pPr>
        <w:pStyle w:val="BodyText"/>
        <w:spacing w:before="90" w:line="280" w:lineRule="auto"/>
        <w:ind w:left="100"/>
        <w:jc w:val="both"/>
      </w:pPr>
      <w:bookmarkStart w:id="0" w:name="_Hlk68667430"/>
    </w:p>
    <w:bookmarkEnd w:id="0"/>
    <w:p w14:paraId="368CD5ED" w14:textId="77777777" w:rsidR="00AE3E37" w:rsidRDefault="00A9710C">
      <w:pPr>
        <w:pStyle w:val="Heading3"/>
        <w:spacing w:before="74"/>
      </w:pPr>
      <w:r>
        <w:rPr>
          <w:b w:val="0"/>
        </w:rPr>
        <w:br w:type="column"/>
      </w:r>
      <w:r>
        <w:rPr>
          <w:color w:val="BF5A14"/>
        </w:rPr>
        <w:t>Image</w:t>
      </w:r>
    </w:p>
    <w:p w14:paraId="53F7B844" w14:textId="1B24369C" w:rsidR="00AE3E37" w:rsidRDefault="00AE3E37">
      <w:pPr>
        <w:pStyle w:val="BodyText"/>
        <w:spacing w:before="2"/>
        <w:rPr>
          <w:rFonts w:ascii="Arial"/>
          <w:b/>
          <w:sz w:val="16"/>
        </w:rPr>
      </w:pPr>
    </w:p>
    <w:p w14:paraId="574FBD50" w14:textId="56A6148E" w:rsidR="00F378E3" w:rsidRDefault="00F378E3">
      <w:pPr>
        <w:pStyle w:val="BodyText"/>
        <w:spacing w:before="2"/>
        <w:rPr>
          <w:rFonts w:ascii="Arial"/>
          <w:b/>
          <w:sz w:val="16"/>
        </w:rPr>
      </w:pPr>
      <w:r w:rsidRPr="00836201">
        <w:rPr>
          <w:noProof/>
        </w:rPr>
        <w:drawing>
          <wp:inline distT="0" distB="0" distL="0" distR="0" wp14:anchorId="3C6F63B4" wp14:editId="553E0E7D">
            <wp:extent cx="3164353" cy="1743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7547" cy="1744834"/>
                    </a:xfrm>
                    <a:prstGeom prst="rect">
                      <a:avLst/>
                    </a:prstGeom>
                  </pic:spPr>
                </pic:pic>
              </a:graphicData>
            </a:graphic>
          </wp:inline>
        </w:drawing>
      </w:r>
    </w:p>
    <w:p w14:paraId="6164FA5E" w14:textId="523ACCCD" w:rsidR="005973B9" w:rsidRDefault="005973B9" w:rsidP="005973B9">
      <w:pPr>
        <w:spacing w:line="204" w:lineRule="exact"/>
        <w:rPr>
          <w:rFonts w:ascii="Arial"/>
          <w:b/>
          <w:sz w:val="20"/>
        </w:rPr>
      </w:pPr>
      <w:r>
        <w:rPr>
          <w:rFonts w:ascii="Arial"/>
          <w:b/>
          <w:color w:val="BF5A14"/>
          <w:sz w:val="20"/>
        </w:rPr>
        <w:br/>
        <w:t>Recent Publications (minimum 5)</w:t>
      </w:r>
    </w:p>
    <w:p w14:paraId="7D79629F" w14:textId="1E8445F2" w:rsidR="00AB1C23" w:rsidRDefault="00E70F6C" w:rsidP="00AB1C23">
      <w:pPr>
        <w:pStyle w:val="ListParagraph"/>
        <w:numPr>
          <w:ilvl w:val="0"/>
          <w:numId w:val="3"/>
        </w:numPr>
        <w:tabs>
          <w:tab w:val="left" w:pos="384"/>
        </w:tabs>
        <w:spacing w:line="216" w:lineRule="exact"/>
        <w:ind w:right="137" w:hanging="283"/>
        <w:rPr>
          <w:sz w:val="18"/>
        </w:rPr>
      </w:pPr>
      <w:r>
        <w:rPr>
          <w:iCs/>
          <w:sz w:val="18"/>
          <w:szCs w:val="18"/>
        </w:rPr>
        <w:t>Maher, M</w:t>
      </w:r>
      <w:r w:rsidR="004A1D02">
        <w:rPr>
          <w:iCs/>
          <w:sz w:val="18"/>
          <w:szCs w:val="18"/>
        </w:rPr>
        <w:t>.</w:t>
      </w:r>
      <w:r>
        <w:rPr>
          <w:iCs/>
          <w:sz w:val="18"/>
          <w:szCs w:val="18"/>
        </w:rPr>
        <w:t>J</w:t>
      </w:r>
      <w:r w:rsidR="004A1D02">
        <w:rPr>
          <w:iCs/>
          <w:sz w:val="18"/>
          <w:szCs w:val="18"/>
        </w:rPr>
        <w:t>.</w:t>
      </w:r>
      <w:r>
        <w:rPr>
          <w:iCs/>
          <w:sz w:val="18"/>
          <w:szCs w:val="18"/>
        </w:rPr>
        <w:t xml:space="preserve"> (2012) </w:t>
      </w:r>
      <w:r w:rsidRPr="00E70F6C">
        <w:rPr>
          <w:i/>
          <w:sz w:val="18"/>
          <w:szCs w:val="18"/>
        </w:rPr>
        <w:t>Racism and Cultural Diversity</w:t>
      </w:r>
      <w:r w:rsidRPr="00E70F6C">
        <w:rPr>
          <w:sz w:val="18"/>
          <w:szCs w:val="18"/>
        </w:rPr>
        <w:t xml:space="preserve">: </w:t>
      </w:r>
      <w:r w:rsidRPr="00E70F6C">
        <w:rPr>
          <w:i/>
          <w:sz w:val="18"/>
          <w:szCs w:val="18"/>
        </w:rPr>
        <w:t>Cultivating Racial Harmony through Counselling, Group Analysis and Psychotherapy</w:t>
      </w:r>
      <w:r>
        <w:rPr>
          <w:i/>
          <w:sz w:val="18"/>
          <w:szCs w:val="18"/>
        </w:rPr>
        <w:t xml:space="preserve">. </w:t>
      </w:r>
      <w:r>
        <w:rPr>
          <w:iCs/>
          <w:sz w:val="18"/>
          <w:szCs w:val="18"/>
        </w:rPr>
        <w:t>London</w:t>
      </w:r>
      <w:r w:rsidR="001A3E9B">
        <w:rPr>
          <w:iCs/>
          <w:sz w:val="18"/>
          <w:szCs w:val="18"/>
        </w:rPr>
        <w:t xml:space="preserve">: </w:t>
      </w:r>
      <w:r>
        <w:rPr>
          <w:iCs/>
          <w:sz w:val="18"/>
          <w:szCs w:val="18"/>
        </w:rPr>
        <w:t>Karnac</w:t>
      </w:r>
      <w:r w:rsidR="00AB1C23">
        <w:rPr>
          <w:iCs/>
          <w:sz w:val="18"/>
          <w:szCs w:val="18"/>
        </w:rPr>
        <w:t xml:space="preserve"> first now with </w:t>
      </w:r>
      <w:r w:rsidR="00AB1C23">
        <w:rPr>
          <w:sz w:val="18"/>
        </w:rPr>
        <w:t>London &amp; New York: Routledge Taylor &amp; Francis Group</w:t>
      </w:r>
    </w:p>
    <w:p w14:paraId="79E5D70A" w14:textId="3F85B8DA" w:rsidR="005973B9" w:rsidRDefault="00E70F6C" w:rsidP="005973B9">
      <w:pPr>
        <w:pStyle w:val="ListParagraph"/>
        <w:numPr>
          <w:ilvl w:val="0"/>
          <w:numId w:val="3"/>
        </w:numPr>
        <w:tabs>
          <w:tab w:val="left" w:pos="384"/>
        </w:tabs>
        <w:spacing w:before="103" w:line="216" w:lineRule="exact"/>
        <w:ind w:right="138" w:hanging="283"/>
        <w:rPr>
          <w:sz w:val="18"/>
        </w:rPr>
      </w:pPr>
      <w:r>
        <w:rPr>
          <w:sz w:val="18"/>
        </w:rPr>
        <w:t>Maher, M</w:t>
      </w:r>
      <w:r w:rsidR="004A1D02">
        <w:rPr>
          <w:sz w:val="18"/>
        </w:rPr>
        <w:t>.</w:t>
      </w:r>
      <w:r>
        <w:rPr>
          <w:sz w:val="18"/>
        </w:rPr>
        <w:t>J</w:t>
      </w:r>
      <w:r w:rsidR="004A1D02">
        <w:rPr>
          <w:sz w:val="18"/>
        </w:rPr>
        <w:t>.</w:t>
      </w:r>
      <w:r>
        <w:rPr>
          <w:sz w:val="18"/>
        </w:rPr>
        <w:t xml:space="preserve"> (2018) </w:t>
      </w:r>
      <w:r>
        <w:rPr>
          <w:i/>
          <w:iCs/>
          <w:sz w:val="18"/>
        </w:rPr>
        <w:t xml:space="preserve">Response to ‘World </w:t>
      </w:r>
      <w:r w:rsidR="00AB1C23">
        <w:rPr>
          <w:i/>
          <w:iCs/>
          <w:sz w:val="18"/>
        </w:rPr>
        <w:t>i</w:t>
      </w:r>
      <w:r>
        <w:rPr>
          <w:i/>
          <w:iCs/>
          <w:sz w:val="18"/>
        </w:rPr>
        <w:t xml:space="preserve">n motion- the emotional impact of mass migration’ by Elisabeth Rohr, </w:t>
      </w:r>
      <w:r>
        <w:rPr>
          <w:sz w:val="18"/>
        </w:rPr>
        <w:t>First published August 14,2018</w:t>
      </w:r>
      <w:r w:rsidR="00F418EC">
        <w:rPr>
          <w:sz w:val="18"/>
        </w:rPr>
        <w:t xml:space="preserve"> G</w:t>
      </w:r>
      <w:r>
        <w:rPr>
          <w:sz w:val="18"/>
        </w:rPr>
        <w:t>roup Analysis</w:t>
      </w:r>
      <w:r w:rsidR="00AB1C23">
        <w:rPr>
          <w:sz w:val="18"/>
        </w:rPr>
        <w:t>, London: SAGE</w:t>
      </w:r>
      <w:r>
        <w:rPr>
          <w:sz w:val="18"/>
        </w:rPr>
        <w:t xml:space="preserve"> </w:t>
      </w:r>
    </w:p>
    <w:p w14:paraId="5CA291FE" w14:textId="25DBFC7A" w:rsidR="001A3E9B" w:rsidRDefault="001A3E9B" w:rsidP="005973B9">
      <w:pPr>
        <w:pStyle w:val="ListParagraph"/>
        <w:numPr>
          <w:ilvl w:val="0"/>
          <w:numId w:val="3"/>
        </w:numPr>
        <w:tabs>
          <w:tab w:val="left" w:pos="384"/>
        </w:tabs>
        <w:spacing w:before="103" w:line="216" w:lineRule="exact"/>
        <w:ind w:right="138" w:hanging="283"/>
        <w:rPr>
          <w:sz w:val="18"/>
        </w:rPr>
      </w:pPr>
      <w:r>
        <w:rPr>
          <w:sz w:val="18"/>
        </w:rPr>
        <w:t>Maher, M</w:t>
      </w:r>
      <w:r w:rsidR="004A1D02">
        <w:rPr>
          <w:sz w:val="18"/>
        </w:rPr>
        <w:t>.</w:t>
      </w:r>
      <w:r>
        <w:rPr>
          <w:sz w:val="18"/>
        </w:rPr>
        <w:t>J</w:t>
      </w:r>
      <w:r w:rsidR="004A1D02">
        <w:rPr>
          <w:sz w:val="18"/>
        </w:rPr>
        <w:t>.</w:t>
      </w:r>
      <w:r w:rsidR="002E35BA">
        <w:rPr>
          <w:sz w:val="18"/>
        </w:rPr>
        <w:t xml:space="preserve"> </w:t>
      </w:r>
      <w:r w:rsidR="00027FF3">
        <w:rPr>
          <w:sz w:val="18"/>
        </w:rPr>
        <w:t xml:space="preserve">(2015) </w:t>
      </w:r>
      <w:r w:rsidR="00027FF3">
        <w:rPr>
          <w:i/>
          <w:iCs/>
          <w:sz w:val="18"/>
        </w:rPr>
        <w:t>Rwanda:</w:t>
      </w:r>
      <w:r w:rsidR="00FA4749">
        <w:rPr>
          <w:i/>
          <w:iCs/>
          <w:sz w:val="18"/>
        </w:rPr>
        <w:t xml:space="preserve"> </w:t>
      </w:r>
      <w:r w:rsidR="00027FF3">
        <w:rPr>
          <w:i/>
          <w:iCs/>
          <w:sz w:val="18"/>
        </w:rPr>
        <w:t xml:space="preserve">Hope and Healing </w:t>
      </w:r>
      <w:r w:rsidR="00F418EC">
        <w:rPr>
          <w:sz w:val="18"/>
        </w:rPr>
        <w:t xml:space="preserve">published </w:t>
      </w:r>
      <w:r w:rsidR="00027FF3">
        <w:rPr>
          <w:sz w:val="18"/>
        </w:rPr>
        <w:t xml:space="preserve">in Once </w:t>
      </w:r>
      <w:r w:rsidR="00AB1C23">
        <w:rPr>
          <w:sz w:val="18"/>
        </w:rPr>
        <w:t>A</w:t>
      </w:r>
      <w:r w:rsidR="00027FF3">
        <w:rPr>
          <w:sz w:val="18"/>
        </w:rPr>
        <w:t xml:space="preserve">nd </w:t>
      </w:r>
      <w:r w:rsidR="00AB1C23">
        <w:rPr>
          <w:sz w:val="18"/>
        </w:rPr>
        <w:t>F</w:t>
      </w:r>
      <w:r w:rsidR="00027FF3">
        <w:rPr>
          <w:sz w:val="18"/>
        </w:rPr>
        <w:t xml:space="preserve">or </w:t>
      </w:r>
      <w:r w:rsidR="00AB1C23">
        <w:rPr>
          <w:sz w:val="18"/>
        </w:rPr>
        <w:t>A</w:t>
      </w:r>
      <w:r w:rsidR="00027FF3">
        <w:rPr>
          <w:sz w:val="18"/>
        </w:rPr>
        <w:t>ll</w:t>
      </w:r>
      <w:r w:rsidR="00AB1C23">
        <w:rPr>
          <w:sz w:val="18"/>
        </w:rPr>
        <w:t xml:space="preserve"> newsletter,</w:t>
      </w:r>
      <w:r w:rsidR="00027FF3">
        <w:rPr>
          <w:sz w:val="18"/>
        </w:rPr>
        <w:t xml:space="preserve"> London: The Beeches Publication </w:t>
      </w:r>
    </w:p>
    <w:p w14:paraId="5288687D" w14:textId="0371AB9E" w:rsidR="001A3E9B" w:rsidRDefault="001A3E9B" w:rsidP="001A3E9B">
      <w:pPr>
        <w:pStyle w:val="ListParagraph"/>
        <w:numPr>
          <w:ilvl w:val="0"/>
          <w:numId w:val="3"/>
        </w:numPr>
        <w:tabs>
          <w:tab w:val="left" w:pos="384"/>
        </w:tabs>
        <w:spacing w:line="216" w:lineRule="exact"/>
        <w:ind w:right="137" w:hanging="283"/>
        <w:rPr>
          <w:sz w:val="18"/>
        </w:rPr>
      </w:pPr>
      <w:r>
        <w:rPr>
          <w:sz w:val="18"/>
        </w:rPr>
        <w:t>Maher, M</w:t>
      </w:r>
      <w:r w:rsidR="004A1D02">
        <w:rPr>
          <w:sz w:val="18"/>
        </w:rPr>
        <w:t>.</w:t>
      </w:r>
      <w:r>
        <w:rPr>
          <w:sz w:val="18"/>
        </w:rPr>
        <w:t>J</w:t>
      </w:r>
      <w:r w:rsidR="004A1D02">
        <w:rPr>
          <w:sz w:val="18"/>
        </w:rPr>
        <w:t>.</w:t>
      </w:r>
      <w:r>
        <w:rPr>
          <w:sz w:val="18"/>
        </w:rPr>
        <w:t xml:space="preserve"> (2021:195-214), </w:t>
      </w:r>
      <w:r>
        <w:rPr>
          <w:i/>
          <w:iCs/>
          <w:sz w:val="18"/>
        </w:rPr>
        <w:t>The role of a grandmother</w:t>
      </w:r>
      <w:r>
        <w:rPr>
          <w:sz w:val="18"/>
        </w:rPr>
        <w:t xml:space="preserve"> in Exploration Depth Psychology and the Female Self: Feminist Themes from Somewhere ed Gardner L &amp; Miller C, London &amp; New York:</w:t>
      </w:r>
      <w:r w:rsidR="002E35BA">
        <w:rPr>
          <w:sz w:val="18"/>
        </w:rPr>
        <w:t xml:space="preserve"> </w:t>
      </w:r>
      <w:r>
        <w:rPr>
          <w:sz w:val="18"/>
        </w:rPr>
        <w:t>Routledge Taylor &amp; Francis Group</w:t>
      </w:r>
    </w:p>
    <w:p w14:paraId="5842D39A" w14:textId="3D3C5907" w:rsidR="00027FF3" w:rsidRPr="002E35BA" w:rsidRDefault="002E35BA" w:rsidP="001A3E9B">
      <w:pPr>
        <w:pStyle w:val="ListParagraph"/>
        <w:numPr>
          <w:ilvl w:val="0"/>
          <w:numId w:val="3"/>
        </w:numPr>
        <w:tabs>
          <w:tab w:val="left" w:pos="384"/>
        </w:tabs>
        <w:spacing w:line="216" w:lineRule="exact"/>
        <w:ind w:right="137" w:hanging="283"/>
        <w:rPr>
          <w:sz w:val="18"/>
        </w:rPr>
      </w:pPr>
      <w:r>
        <w:rPr>
          <w:sz w:val="18"/>
        </w:rPr>
        <w:t>Maher, M</w:t>
      </w:r>
      <w:r w:rsidR="004A1D02">
        <w:rPr>
          <w:sz w:val="18"/>
        </w:rPr>
        <w:t>.</w:t>
      </w:r>
      <w:r>
        <w:rPr>
          <w:sz w:val="18"/>
        </w:rPr>
        <w:t>J</w:t>
      </w:r>
      <w:r w:rsidR="004A1D02">
        <w:rPr>
          <w:sz w:val="18"/>
        </w:rPr>
        <w:t>.</w:t>
      </w:r>
      <w:r>
        <w:rPr>
          <w:sz w:val="18"/>
        </w:rPr>
        <w:t xml:space="preserve"> (2017) </w:t>
      </w:r>
      <w:r>
        <w:rPr>
          <w:i/>
          <w:iCs/>
          <w:sz w:val="18"/>
        </w:rPr>
        <w:t xml:space="preserve">Riding the rumbling terror of the mystic hour: Sleep paralysis , to be published , presented at the </w:t>
      </w:r>
    </w:p>
    <w:p w14:paraId="695D2B7B" w14:textId="5CB603D2" w:rsidR="00AE3E37" w:rsidRPr="002E35BA" w:rsidRDefault="002E35BA" w:rsidP="002E35BA">
      <w:pPr>
        <w:pStyle w:val="ListParagraph"/>
        <w:tabs>
          <w:tab w:val="left" w:pos="384"/>
        </w:tabs>
        <w:ind w:right="117" w:firstLine="0"/>
        <w:sectPr w:rsidR="00AE3E37" w:rsidRPr="002E35BA">
          <w:type w:val="continuous"/>
          <w:pgSz w:w="11910" w:h="16840"/>
          <w:pgMar w:top="1740" w:right="600" w:bottom="840" w:left="620" w:header="720" w:footer="720" w:gutter="0"/>
          <w:cols w:num="2" w:space="720" w:equalWidth="0">
            <w:col w:w="5214" w:space="138"/>
            <w:col w:w="5338"/>
          </w:cols>
        </w:sectPr>
      </w:pPr>
      <w:r w:rsidRPr="002E35BA">
        <w:rPr>
          <w:i/>
          <w:iCs/>
          <w:sz w:val="18"/>
        </w:rPr>
        <w:t>Psychoanalytic Society Symposium, Paris</w:t>
      </w:r>
      <w:r w:rsidR="00FA4749">
        <w:rPr>
          <w:i/>
          <w:iCs/>
          <w:sz w:val="18"/>
        </w:rPr>
        <w:t xml:space="preserve"> -</w:t>
      </w:r>
      <w:r w:rsidRPr="002E35BA">
        <w:rPr>
          <w:i/>
          <w:iCs/>
          <w:sz w:val="18"/>
        </w:rPr>
        <w:t xml:space="preserve"> Theme Psychoanalysis &amp;</w:t>
      </w:r>
      <w:r>
        <w:rPr>
          <w:i/>
          <w:iCs/>
          <w:sz w:val="18"/>
        </w:rPr>
        <w:t xml:space="preserve"> </w:t>
      </w:r>
      <w:r w:rsidRPr="002E35BA">
        <w:rPr>
          <w:i/>
          <w:iCs/>
          <w:sz w:val="18"/>
        </w:rPr>
        <w:t>Politics:</w:t>
      </w:r>
      <w:r w:rsidR="00AB1C23">
        <w:rPr>
          <w:i/>
          <w:iCs/>
          <w:sz w:val="18"/>
        </w:rPr>
        <w:t xml:space="preserve"> </w:t>
      </w:r>
      <w:r>
        <w:rPr>
          <w:i/>
          <w:iCs/>
          <w:sz w:val="18"/>
        </w:rPr>
        <w:t>A</w:t>
      </w:r>
      <w:r w:rsidRPr="002E35BA">
        <w:rPr>
          <w:i/>
          <w:iCs/>
          <w:sz w:val="18"/>
        </w:rPr>
        <w:t>nxious Encounters and forces of fear</w:t>
      </w:r>
      <w:r w:rsidRPr="002E35BA">
        <w:rPr>
          <w:sz w:val="18"/>
        </w:rPr>
        <w:t xml:space="preserve"> </w:t>
      </w:r>
      <w:r w:rsidR="008756E6" w:rsidRPr="002E35BA">
        <w:t xml:space="preserve">   </w:t>
      </w:r>
    </w:p>
    <w:p w14:paraId="3659F157" w14:textId="77777777" w:rsidR="00AE3E37" w:rsidRDefault="00AE3E37">
      <w:pPr>
        <w:pStyle w:val="BodyText"/>
        <w:rPr>
          <w:rFonts w:ascii="Calibri"/>
          <w:sz w:val="20"/>
        </w:rPr>
      </w:pPr>
    </w:p>
    <w:p w14:paraId="338C606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5324C0C" wp14:editId="059C4FB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988D1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B5B72C3" w14:textId="05A40F1B" w:rsidR="00AE3E37" w:rsidRDefault="008756E6" w:rsidP="00404E5B">
      <w:pPr>
        <w:spacing w:before="92"/>
        <w:ind w:right="4234"/>
        <w:rPr>
          <w:rFonts w:ascii="Arial"/>
        </w:rPr>
      </w:pPr>
      <w:r>
        <w:rPr>
          <w:noProof/>
        </w:rPr>
        <w:t xml:space="preserve">              </w:t>
      </w:r>
      <w:r w:rsidR="002E35BA" w:rsidRPr="002E35BA">
        <w:rPr>
          <w:noProof/>
          <w:lang w:eastAsia="en-IN"/>
        </w:rPr>
        <w:drawing>
          <wp:inline distT="0" distB="0" distL="0" distR="0" wp14:anchorId="58D84662" wp14:editId="61F4C12F">
            <wp:extent cx="1010285" cy="1151405"/>
            <wp:effectExtent l="5715" t="0" r="5080" b="5080"/>
            <wp:docPr id="3" name="Picture 4">
              <a:extLst xmlns:a="http://schemas.openxmlformats.org/drawingml/2006/main">
                <a:ext uri="{FF2B5EF4-FFF2-40B4-BE49-F238E27FC236}">
                  <a16:creationId xmlns:a16="http://schemas.microsoft.com/office/drawing/2014/main" id="{441C5132-FEC7-4A0C-9B1D-8FC26A0734A7}"/>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1C5132-FEC7-4A0C-9B1D-8FC26A0734A7}"/>
                        </a:ext>
                      </a:extLst>
                    </pic:cNvPr>
                    <pic:cNvPicPr/>
                  </pic:nvPicPr>
                  <pic:blipFill rotWithShape="1">
                    <a:blip r:embed="rId10" cstate="print">
                      <a:extLst>
                        <a:ext uri="{28A0092B-C50C-407E-A947-70E740481C1C}">
                          <a14:useLocalDpi xmlns:a14="http://schemas.microsoft.com/office/drawing/2010/main" val="0"/>
                        </a:ext>
                      </a:extLst>
                    </a:blip>
                    <a:srcRect l="22446" t="33484" r="60032" b="35594"/>
                    <a:stretch/>
                  </pic:blipFill>
                  <pic:spPr bwMode="auto">
                    <a:xfrm rot="5400000">
                      <a:off x="0" y="0"/>
                      <a:ext cx="1028293" cy="1171929"/>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p>
    <w:p w14:paraId="512002E5" w14:textId="4197A05D" w:rsidR="007A6DB8" w:rsidRPr="007A6DB8" w:rsidRDefault="007A6DB8" w:rsidP="007A6DB8">
      <w:pPr>
        <w:rPr>
          <w:sz w:val="18"/>
          <w:szCs w:val="18"/>
        </w:rPr>
      </w:pPr>
      <w:r w:rsidRPr="007A6DB8">
        <w:rPr>
          <w:sz w:val="18"/>
          <w:szCs w:val="18"/>
        </w:rPr>
        <w:t xml:space="preserve">MJ is the creator of </w:t>
      </w:r>
      <w:r w:rsidRPr="007A6DB8">
        <w:rPr>
          <w:b/>
          <w:bCs/>
          <w:i/>
          <w:iCs/>
          <w:sz w:val="18"/>
          <w:szCs w:val="18"/>
        </w:rPr>
        <w:t>S.E.R.V.E. Our Youth: An Anti-knife Culture Formula</w:t>
      </w:r>
      <w:r w:rsidRPr="007A6DB8">
        <w:rPr>
          <w:sz w:val="18"/>
          <w:szCs w:val="18"/>
        </w:rPr>
        <w:t xml:space="preserve">.  She is a group analyst in private practice. MJ teaches trainee counsellors and facilitates groups for doctorate students at Roehampton University. She teaches and facilitates groups on a Foundation Course and an Intermediate Course in Group Analysis in Rwanda. MJ has over 28 years of working in the NHS as a charge nurse, community psychiatric nurse and a group psychotherapist. She worked in a Drug and Alcohol Rehabilitation Unit and Personality Disorder Therapeutic Communities, </w:t>
      </w:r>
      <w:r w:rsidR="004A1D02" w:rsidRPr="007A6DB8">
        <w:rPr>
          <w:sz w:val="18"/>
          <w:szCs w:val="18"/>
        </w:rPr>
        <w:t>specializing</w:t>
      </w:r>
      <w:r w:rsidRPr="007A6DB8">
        <w:rPr>
          <w:sz w:val="18"/>
          <w:szCs w:val="18"/>
        </w:rPr>
        <w:t xml:space="preserve"> in </w:t>
      </w:r>
      <w:r w:rsidR="004A1D02">
        <w:rPr>
          <w:sz w:val="18"/>
          <w:szCs w:val="18"/>
        </w:rPr>
        <w:t xml:space="preserve">racism, </w:t>
      </w:r>
      <w:r w:rsidRPr="007A6DB8">
        <w:rPr>
          <w:sz w:val="18"/>
          <w:szCs w:val="18"/>
        </w:rPr>
        <w:t>sexual abuse and suicide. MJ is an international speaker at psychotherapy symposiums and her response to a keynote address was published. In her book MJ published her research on ‘</w:t>
      </w:r>
      <w:r w:rsidRPr="007A6DB8">
        <w:rPr>
          <w:i/>
          <w:iCs/>
          <w:sz w:val="18"/>
          <w:szCs w:val="18"/>
        </w:rPr>
        <w:t>Can Psychotherapy Penetrate Beyond Skin colour?</w:t>
      </w:r>
      <w:r w:rsidRPr="007A6DB8">
        <w:rPr>
          <w:sz w:val="18"/>
          <w:szCs w:val="18"/>
        </w:rPr>
        <w:t xml:space="preserve">  As a proud grandmother she wrote and published a 5,</w:t>
      </w:r>
      <w:r w:rsidR="004A1D02">
        <w:rPr>
          <w:sz w:val="18"/>
          <w:szCs w:val="18"/>
        </w:rPr>
        <w:t xml:space="preserve"> </w:t>
      </w:r>
      <w:r w:rsidRPr="007A6DB8">
        <w:rPr>
          <w:sz w:val="18"/>
          <w:szCs w:val="18"/>
        </w:rPr>
        <w:t>264</w:t>
      </w:r>
      <w:r w:rsidR="004A1D02">
        <w:rPr>
          <w:sz w:val="18"/>
          <w:szCs w:val="18"/>
        </w:rPr>
        <w:t>-</w:t>
      </w:r>
      <w:r w:rsidRPr="007A6DB8">
        <w:rPr>
          <w:sz w:val="18"/>
          <w:szCs w:val="18"/>
        </w:rPr>
        <w:t xml:space="preserve">word poem on </w:t>
      </w:r>
      <w:r w:rsidRPr="007A6DB8">
        <w:rPr>
          <w:i/>
          <w:iCs/>
          <w:sz w:val="18"/>
          <w:szCs w:val="18"/>
        </w:rPr>
        <w:t>The Role of a grandmother</w:t>
      </w:r>
      <w:r w:rsidRPr="007A6DB8">
        <w:rPr>
          <w:sz w:val="18"/>
          <w:szCs w:val="18"/>
        </w:rPr>
        <w:t xml:space="preserve"> comparing social changes between a traditional and </w:t>
      </w:r>
      <w:r w:rsidR="004A1D02" w:rsidRPr="007A6DB8">
        <w:rPr>
          <w:sz w:val="18"/>
          <w:szCs w:val="18"/>
        </w:rPr>
        <w:t>colonized</w:t>
      </w:r>
      <w:r w:rsidRPr="007A6DB8">
        <w:rPr>
          <w:sz w:val="18"/>
          <w:szCs w:val="18"/>
        </w:rPr>
        <w:t xml:space="preserve"> grandmother. </w:t>
      </w:r>
    </w:p>
    <w:p w14:paraId="2405F0F4" w14:textId="215B72AE" w:rsidR="00AE3E37" w:rsidRDefault="00A9710C" w:rsidP="001428D8">
      <w:pPr>
        <w:spacing w:before="62"/>
        <w:ind w:left="4217" w:right="4235"/>
        <w:jc w:val="center"/>
        <w:rPr>
          <w:rFonts w:ascii="Arial"/>
          <w:sz w:val="19"/>
        </w:rPr>
      </w:pPr>
      <w:r>
        <w:rPr>
          <w:rFonts w:ascii="Arial"/>
          <w:sz w:val="14"/>
        </w:rPr>
        <w:t xml:space="preserve">Email: </w:t>
      </w:r>
      <w:r w:rsidR="001428D8">
        <w:rPr>
          <w:rFonts w:ascii="Arial"/>
          <w:sz w:val="14"/>
        </w:rPr>
        <w:t>mjmaher006@yahoo.com</w:t>
      </w:r>
      <w:r w:rsidR="00292ED9">
        <w:rPr>
          <w:noProof/>
          <w:lang w:val="en-IN" w:eastAsia="en-IN"/>
        </w:rPr>
        <mc:AlternateContent>
          <mc:Choice Requires="wps">
            <w:drawing>
              <wp:anchor distT="0" distB="0" distL="0" distR="0" simplePos="0" relativeHeight="1072" behindDoc="0" locked="0" layoutInCell="1" allowOverlap="1" wp14:anchorId="4BA3C318" wp14:editId="64804DC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9233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2F9984F" w14:textId="77777777" w:rsidR="00AE3E37" w:rsidRDefault="00AE3E37">
      <w:pPr>
        <w:pStyle w:val="BodyText"/>
        <w:rPr>
          <w:rFonts w:ascii="Arial"/>
          <w:sz w:val="20"/>
        </w:rPr>
      </w:pPr>
    </w:p>
    <w:p w14:paraId="0C54D61C" w14:textId="77777777" w:rsidR="00AE3E37" w:rsidRDefault="00AE3E37">
      <w:pPr>
        <w:pStyle w:val="BodyText"/>
        <w:rPr>
          <w:rFonts w:ascii="Arial"/>
          <w:sz w:val="20"/>
        </w:rPr>
      </w:pPr>
    </w:p>
    <w:p w14:paraId="2DA6A79F" w14:textId="77777777" w:rsidR="00AE3E37" w:rsidRDefault="00AE3E37">
      <w:pPr>
        <w:pStyle w:val="BodyText"/>
        <w:spacing w:before="7"/>
        <w:rPr>
          <w:rFonts w:ascii="Arial"/>
          <w:sz w:val="29"/>
        </w:rPr>
      </w:pPr>
    </w:p>
    <w:p w14:paraId="6D79421F" w14:textId="77777777" w:rsidR="00AE3E37" w:rsidRPr="00B21A57" w:rsidRDefault="00A9710C">
      <w:pPr>
        <w:spacing w:before="39"/>
        <w:ind w:left="100"/>
        <w:rPr>
          <w:rFonts w:ascii="Minion Pro"/>
          <w:b/>
          <w:sz w:val="20"/>
        </w:rPr>
      </w:pPr>
      <w:r w:rsidRPr="00B21A57">
        <w:rPr>
          <w:rFonts w:ascii="Minion Pro"/>
          <w:b/>
          <w:sz w:val="20"/>
        </w:rPr>
        <w:t>Notes/Comments:</w:t>
      </w:r>
    </w:p>
    <w:p w14:paraId="5FEA846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2E6B8B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65845" w14:textId="77777777" w:rsidR="002A61BB" w:rsidRDefault="002A61BB">
      <w:r>
        <w:separator/>
      </w:r>
    </w:p>
  </w:endnote>
  <w:endnote w:type="continuationSeparator" w:id="0">
    <w:p w14:paraId="5443D021" w14:textId="77777777" w:rsidR="002A61BB" w:rsidRDefault="002A6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g-1ff9">
    <w:altName w:val="Cambria"/>
    <w:panose1 w:val="00000000000000000000"/>
    <w:charset w:val="00"/>
    <w:family w:val="roman"/>
    <w:notTrueType/>
    <w:pitch w:val="default"/>
  </w:font>
  <w:font w:name="pg-1ffe">
    <w:altName w:val="Cambria"/>
    <w:panose1 w:val="00000000000000000000"/>
    <w:charset w:val="00"/>
    <w:family w:val="roman"/>
    <w:notTrueType/>
    <w:pitch w:val="default"/>
  </w:font>
  <w:font w:name="pg-1ff13">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7EBD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DEF3BBA" wp14:editId="6DD3354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C218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1021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F3BB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C2C218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1021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AB07F92" wp14:editId="401AF1A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C237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18A67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07F9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4EC237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18A67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4B5B044" wp14:editId="293812A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F509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0333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5B04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83F509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0333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D0514" w14:textId="77777777" w:rsidR="002A61BB" w:rsidRDefault="002A61BB">
      <w:r>
        <w:separator/>
      </w:r>
    </w:p>
  </w:footnote>
  <w:footnote w:type="continuationSeparator" w:id="0">
    <w:p w14:paraId="0012D125" w14:textId="77777777" w:rsidR="002A61BB" w:rsidRDefault="002A6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E21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CF06573" wp14:editId="0D70D80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10E8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0657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7310E8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D1B4F11" wp14:editId="5BB51B9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F999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04ABF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B4F1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8F999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04ABF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597778E"/>
    <w:multiLevelType w:val="hybridMultilevel"/>
    <w:tmpl w:val="FC8AD206"/>
    <w:lvl w:ilvl="0" w:tplc="0AEE90A2">
      <w:start w:val="1"/>
      <w:numFmt w:val="decimal"/>
      <w:lvlText w:val="%1."/>
      <w:lvlJc w:val="left"/>
      <w:pPr>
        <w:ind w:left="1005" w:hanging="360"/>
      </w:pPr>
      <w:rPr>
        <w:rFonts w:hint="default"/>
      </w:r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7FF3"/>
    <w:rsid w:val="00094A7B"/>
    <w:rsid w:val="000E2911"/>
    <w:rsid w:val="001263DF"/>
    <w:rsid w:val="001428D8"/>
    <w:rsid w:val="001A3E9B"/>
    <w:rsid w:val="002455EC"/>
    <w:rsid w:val="00292ED9"/>
    <w:rsid w:val="002A61BB"/>
    <w:rsid w:val="002E35BA"/>
    <w:rsid w:val="00404E5B"/>
    <w:rsid w:val="00414F7B"/>
    <w:rsid w:val="004355DC"/>
    <w:rsid w:val="004749B4"/>
    <w:rsid w:val="00491FDB"/>
    <w:rsid w:val="00494130"/>
    <w:rsid w:val="004A1D02"/>
    <w:rsid w:val="004F3523"/>
    <w:rsid w:val="005973B9"/>
    <w:rsid w:val="005B3A56"/>
    <w:rsid w:val="006060CE"/>
    <w:rsid w:val="0063497F"/>
    <w:rsid w:val="007102D0"/>
    <w:rsid w:val="00742006"/>
    <w:rsid w:val="007A6DB8"/>
    <w:rsid w:val="00873DF0"/>
    <w:rsid w:val="008756E6"/>
    <w:rsid w:val="008A08B6"/>
    <w:rsid w:val="009B2D44"/>
    <w:rsid w:val="00A07E82"/>
    <w:rsid w:val="00A9710C"/>
    <w:rsid w:val="00AB1C23"/>
    <w:rsid w:val="00AE3E37"/>
    <w:rsid w:val="00B21A57"/>
    <w:rsid w:val="00C33602"/>
    <w:rsid w:val="00CD184B"/>
    <w:rsid w:val="00CD6F55"/>
    <w:rsid w:val="00DD61C0"/>
    <w:rsid w:val="00DE3104"/>
    <w:rsid w:val="00E26B10"/>
    <w:rsid w:val="00E616D9"/>
    <w:rsid w:val="00E70F6C"/>
    <w:rsid w:val="00F378E3"/>
    <w:rsid w:val="00F418EC"/>
    <w:rsid w:val="00F72EEA"/>
    <w:rsid w:val="00F84CAE"/>
    <w:rsid w:val="00FA4749"/>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F36B5"/>
  <w15:docId w15:val="{BD159791-D017-4FDE-BF65-80208B3D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pg-1ff2">
    <w:name w:val="pg-1ff2"/>
    <w:basedOn w:val="DefaultParagraphFont"/>
    <w:rsid w:val="00491FDB"/>
  </w:style>
  <w:style w:type="character" w:customStyle="1" w:styleId="pg-1ff3">
    <w:name w:val="pg-1ff3"/>
    <w:basedOn w:val="DefaultParagraphFont"/>
    <w:rsid w:val="00491FDB"/>
  </w:style>
  <w:style w:type="character" w:customStyle="1" w:styleId="pg-1fc0">
    <w:name w:val="pg-1fc0"/>
    <w:basedOn w:val="DefaultParagraphFont"/>
    <w:rsid w:val="00491FDB"/>
  </w:style>
  <w:style w:type="character" w:customStyle="1" w:styleId="pg-1fc1">
    <w:name w:val="pg-1fc1"/>
    <w:basedOn w:val="DefaultParagraphFont"/>
    <w:rsid w:val="00491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1176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6493861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MJ MAHER</cp:lastModifiedBy>
  <cp:revision>6</cp:revision>
  <cp:lastPrinted>2021-04-20T18:02:00Z</cp:lastPrinted>
  <dcterms:created xsi:type="dcterms:W3CDTF">2021-04-19T23:32:00Z</dcterms:created>
  <dcterms:modified xsi:type="dcterms:W3CDTF">2021-04-28T00:24:00Z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