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467EE" w:rsidP="00494130">
      <w:pPr>
        <w:pStyle w:val="Balk1"/>
        <w:spacing w:before="170"/>
        <w:ind w:left="0"/>
      </w:pPr>
      <w:r>
        <w:rPr>
          <w:color w:val="337AB7"/>
        </w:rPr>
        <w:t>Effects of boron supplementation on peripartum dairy cows’ health: a metabolomic</w:t>
      </w:r>
      <w:r w:rsidR="00083F7F">
        <w:rPr>
          <w:color w:val="337AB7"/>
        </w:rPr>
        <w:t>s</w:t>
      </w:r>
      <w:r>
        <w:rPr>
          <w:color w:val="337AB7"/>
        </w:rPr>
        <w:t xml:space="preserve"> and transcriptomic</w:t>
      </w:r>
      <w:r w:rsidR="00083F7F">
        <w:rPr>
          <w:color w:val="337AB7"/>
        </w:rPr>
        <w:t>s</w:t>
      </w:r>
      <w:r>
        <w:rPr>
          <w:color w:val="337AB7"/>
        </w:rPr>
        <w:t xml:space="preserve"> approach</w:t>
      </w:r>
    </w:p>
    <w:p w:rsidR="00083F7F" w:rsidRDefault="00083F7F" w:rsidP="008467EE">
      <w:pPr>
        <w:widowControl/>
        <w:autoSpaceDE w:val="0"/>
        <w:autoSpaceDN w:val="0"/>
        <w:adjustRightInd w:val="0"/>
        <w:rPr>
          <w:rFonts w:ascii="Arial" w:hAnsi="Arial" w:cs="Arial"/>
          <w:sz w:val="18"/>
          <w:szCs w:val="18"/>
        </w:rPr>
      </w:pPr>
    </w:p>
    <w:p w:rsidR="008467EE" w:rsidRPr="00083F7F" w:rsidRDefault="008467EE" w:rsidP="008467EE">
      <w:pPr>
        <w:widowControl/>
        <w:autoSpaceDE w:val="0"/>
        <w:autoSpaceDN w:val="0"/>
        <w:adjustRightInd w:val="0"/>
        <w:rPr>
          <w:rFonts w:ascii="Arial" w:eastAsiaTheme="minorHAnsi" w:hAnsi="Arial" w:cs="Arial"/>
          <w:color w:val="131413"/>
          <w:sz w:val="18"/>
          <w:szCs w:val="18"/>
          <w:lang w:val="tr-TR"/>
        </w:rPr>
      </w:pPr>
      <w:r w:rsidRPr="00083F7F">
        <w:rPr>
          <w:rFonts w:ascii="Arial" w:hAnsi="Arial" w:cs="Arial"/>
          <w:sz w:val="18"/>
          <w:szCs w:val="18"/>
        </w:rPr>
        <w:t xml:space="preserve">Abdullah Basoglu, Prof.Dr. Selcuk University Turkey </w:t>
      </w:r>
    </w:p>
    <w:p w:rsidR="008467EE" w:rsidRPr="00083F7F" w:rsidRDefault="008467EE" w:rsidP="008467EE">
      <w:pPr>
        <w:widowControl/>
        <w:autoSpaceDE w:val="0"/>
        <w:autoSpaceDN w:val="0"/>
        <w:adjustRightInd w:val="0"/>
        <w:rPr>
          <w:rFonts w:ascii="Arial" w:eastAsiaTheme="minorHAnsi" w:hAnsi="Arial" w:cs="Arial"/>
          <w:color w:val="131413"/>
          <w:sz w:val="18"/>
          <w:szCs w:val="18"/>
          <w:lang w:val="tr-TR"/>
        </w:rPr>
      </w:pPr>
      <w:r w:rsidRPr="00083F7F">
        <w:rPr>
          <w:rFonts w:ascii="Arial" w:eastAsiaTheme="minorHAnsi" w:hAnsi="Arial" w:cs="Arial"/>
          <w:color w:val="131413"/>
          <w:sz w:val="18"/>
          <w:szCs w:val="18"/>
          <w:lang w:val="tr-TR"/>
        </w:rPr>
        <w:t xml:space="preserve">Nuri Baspinar, </w:t>
      </w:r>
      <w:r w:rsidR="00083F7F">
        <w:rPr>
          <w:rFonts w:ascii="Arial" w:eastAsiaTheme="minorHAnsi" w:hAnsi="Arial" w:cs="Arial"/>
          <w:color w:val="131413"/>
          <w:sz w:val="18"/>
          <w:szCs w:val="18"/>
          <w:lang w:val="tr-TR"/>
        </w:rPr>
        <w:t xml:space="preserve">Prof.Dr. </w:t>
      </w:r>
      <w:r w:rsidR="00083F7F" w:rsidRPr="00083F7F">
        <w:rPr>
          <w:rFonts w:ascii="Arial" w:hAnsi="Arial" w:cs="Arial"/>
          <w:sz w:val="18"/>
          <w:szCs w:val="18"/>
        </w:rPr>
        <w:t>Selcuk University Turkey</w:t>
      </w:r>
    </w:p>
    <w:p w:rsidR="008467EE" w:rsidRPr="00083F7F" w:rsidRDefault="008467EE" w:rsidP="008467EE">
      <w:pPr>
        <w:widowControl/>
        <w:autoSpaceDE w:val="0"/>
        <w:autoSpaceDN w:val="0"/>
        <w:adjustRightInd w:val="0"/>
        <w:rPr>
          <w:rFonts w:ascii="Arial" w:eastAsiaTheme="minorHAnsi" w:hAnsi="Arial" w:cs="Arial"/>
          <w:color w:val="131413"/>
          <w:sz w:val="18"/>
          <w:szCs w:val="18"/>
          <w:lang w:val="tr-TR"/>
        </w:rPr>
      </w:pPr>
      <w:r w:rsidRPr="00083F7F">
        <w:rPr>
          <w:rFonts w:ascii="Arial" w:eastAsiaTheme="minorHAnsi" w:hAnsi="Arial" w:cs="Arial"/>
          <w:color w:val="131413"/>
          <w:sz w:val="18"/>
          <w:szCs w:val="18"/>
          <w:lang w:val="tr-TR"/>
        </w:rPr>
        <w:t>Leonardo Tenori</w:t>
      </w:r>
      <w:r w:rsidR="00083F7F">
        <w:rPr>
          <w:rFonts w:ascii="Arial" w:eastAsiaTheme="minorHAnsi" w:hAnsi="Arial" w:cs="Arial"/>
          <w:color w:val="131413"/>
          <w:sz w:val="18"/>
          <w:szCs w:val="18"/>
          <w:lang w:val="tr-TR"/>
        </w:rPr>
        <w:t>, Dr. University of Florence, CERM, Italy</w:t>
      </w:r>
    </w:p>
    <w:p w:rsidR="00083F7F" w:rsidRPr="00083F7F" w:rsidRDefault="00083F7F" w:rsidP="00083F7F">
      <w:pPr>
        <w:widowControl/>
        <w:autoSpaceDE w:val="0"/>
        <w:autoSpaceDN w:val="0"/>
        <w:adjustRightInd w:val="0"/>
        <w:rPr>
          <w:rFonts w:ascii="Arial" w:eastAsiaTheme="minorHAnsi" w:hAnsi="Arial" w:cs="Arial"/>
          <w:color w:val="131413"/>
          <w:sz w:val="18"/>
          <w:szCs w:val="18"/>
          <w:lang w:val="tr-TR"/>
        </w:rPr>
      </w:pPr>
      <w:r>
        <w:rPr>
          <w:rFonts w:ascii="Arial" w:eastAsiaTheme="minorHAnsi" w:hAnsi="Arial" w:cs="Arial"/>
          <w:color w:val="131413"/>
          <w:sz w:val="18"/>
          <w:szCs w:val="18"/>
          <w:lang w:val="tr-TR"/>
        </w:rPr>
        <w:t>Alessia Vignoli, University of Florence, CERM, Italy</w:t>
      </w:r>
    </w:p>
    <w:p w:rsidR="005973B9" w:rsidRPr="00083F7F" w:rsidRDefault="008467EE" w:rsidP="008467EE">
      <w:pPr>
        <w:pStyle w:val="GvdeMetni"/>
        <w:spacing w:before="73" w:line="198" w:lineRule="exact"/>
        <w:ind w:right="5987"/>
        <w:rPr>
          <w:rFonts w:ascii="Arial" w:hAnsi="Arial" w:cs="Arial"/>
        </w:rPr>
      </w:pPr>
      <w:r w:rsidRPr="00083F7F">
        <w:rPr>
          <w:rFonts w:ascii="Arial" w:eastAsiaTheme="minorHAnsi" w:hAnsi="Arial" w:cs="Arial"/>
          <w:color w:val="131413"/>
          <w:lang w:val="tr-TR"/>
        </w:rPr>
        <w:t>Erdem Gulersoy</w:t>
      </w:r>
      <w:r w:rsidR="00083F7F">
        <w:rPr>
          <w:rFonts w:ascii="Arial" w:eastAsiaTheme="minorHAnsi" w:hAnsi="Arial" w:cs="Arial"/>
          <w:color w:val="131413"/>
          <w:lang w:val="tr-TR"/>
        </w:rPr>
        <w:t xml:space="preserve">, </w:t>
      </w:r>
      <w:r w:rsidR="00083F7F" w:rsidRPr="00083F7F">
        <w:rPr>
          <w:rFonts w:ascii="Arial" w:hAnsi="Arial" w:cs="Arial"/>
        </w:rPr>
        <w:t>Selcuk University Turkey</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404E5B">
        <w:rPr>
          <w:color w:val="BF5A14"/>
        </w:rPr>
        <w:t xml:space="preserve"> </w:t>
      </w:r>
    </w:p>
    <w:p w:rsidR="00AE3E37" w:rsidRDefault="00083F7F" w:rsidP="005B64B9">
      <w:pPr>
        <w:widowControl/>
        <w:autoSpaceDE w:val="0"/>
        <w:autoSpaceDN w:val="0"/>
        <w:adjustRightInd w:val="0"/>
        <w:jc w:val="both"/>
      </w:pPr>
      <w:r>
        <w:rPr>
          <w:rFonts w:ascii="MrtmqsAdvTT3713a231" w:eastAsiaTheme="minorHAnsi" w:hAnsi="MrtmqsAdvTT3713a231" w:cs="MrtmqsAdvTT3713a231"/>
          <w:color w:val="131413"/>
          <w:sz w:val="20"/>
          <w:szCs w:val="20"/>
          <w:lang w:val="tr-TR"/>
        </w:rPr>
        <w:t>Although many different dietary studies on the prevention of negative energy balance related diseases are often encountered, this is the first study investigating the effects of boron supplementation on peripartum</w:t>
      </w:r>
      <w:r w:rsidR="00F410A3">
        <w:rPr>
          <w:rFonts w:ascii="MrtmqsAdvTT3713a231" w:eastAsiaTheme="minorHAnsi" w:hAnsi="MrtmqsAdvTT3713a231" w:cs="MrtmqsAdvTT3713a231"/>
          <w:color w:val="131413"/>
          <w:sz w:val="20"/>
          <w:szCs w:val="20"/>
          <w:lang w:val="tr-TR"/>
        </w:rPr>
        <w:t xml:space="preserve"> </w:t>
      </w:r>
      <w:r>
        <w:rPr>
          <w:rFonts w:ascii="MrtmqsAdvTT3713a231" w:eastAsiaTheme="minorHAnsi" w:hAnsi="MrtmqsAdvTT3713a231" w:cs="MrtmqsAdvTT3713a231"/>
          <w:color w:val="131413"/>
          <w:sz w:val="20"/>
          <w:szCs w:val="20"/>
          <w:lang w:val="tr-TR"/>
        </w:rPr>
        <w:t>dairy cows</w:t>
      </w:r>
      <w:r>
        <w:rPr>
          <w:rFonts w:ascii="JghbmrAdvTT3713a231+20" w:eastAsiaTheme="minorHAnsi" w:hAnsi="JghbmrAdvTT3713a231+20" w:cs="JghbmrAdvTT3713a231+20"/>
          <w:color w:val="131413"/>
          <w:sz w:val="20"/>
          <w:szCs w:val="20"/>
          <w:lang w:val="tr-TR"/>
        </w:rPr>
        <w:t xml:space="preserve">’ </w:t>
      </w:r>
      <w:r>
        <w:rPr>
          <w:rFonts w:ascii="MrtmqsAdvTT3713a231" w:eastAsiaTheme="minorHAnsi" w:hAnsi="MrtmqsAdvTT3713a231" w:cs="MrtmqsAdvTT3713a231"/>
          <w:color w:val="131413"/>
          <w:sz w:val="20"/>
          <w:szCs w:val="20"/>
          <w:lang w:val="tr-TR"/>
        </w:rPr>
        <w:t>health in the light of an omics approach. Twenty-eight healthy cows (1 control and 3 experimental groups) were enrolled from 2 months before predicted calving until 2 months after calving. Experimental groups</w:t>
      </w:r>
      <w:r w:rsidR="00D3737F">
        <w:rPr>
          <w:rFonts w:ascii="MrtmqsAdvTT3713a231" w:eastAsiaTheme="minorHAnsi" w:hAnsi="MrtmqsAdvTT3713a231" w:cs="MrtmqsAdvTT3713a231"/>
          <w:color w:val="131413"/>
          <w:sz w:val="20"/>
          <w:szCs w:val="20"/>
          <w:lang w:val="tr-TR"/>
        </w:rPr>
        <w:t xml:space="preserve"> </w:t>
      </w:r>
      <w:r>
        <w:rPr>
          <w:rFonts w:ascii="MrtmqsAdvTT3713a231" w:eastAsiaTheme="minorHAnsi" w:hAnsi="MrtmqsAdvTT3713a231" w:cs="MrtmqsAdvTT3713a231"/>
          <w:color w:val="131413"/>
          <w:sz w:val="20"/>
          <w:szCs w:val="20"/>
          <w:lang w:val="tr-TR"/>
        </w:rPr>
        <w:t>were assigned to receive boron at increasing doses as an oral bolus. Production parameters, biochemical profile,</w:t>
      </w:r>
      <w:r w:rsidR="00D3737F">
        <w:rPr>
          <w:rFonts w:ascii="MrtmqsAdvTT3713a231" w:eastAsiaTheme="minorHAnsi" w:hAnsi="MrtmqsAdvTT3713a231" w:cs="MrtmqsAdvTT3713a231"/>
          <w:color w:val="131413"/>
          <w:sz w:val="20"/>
          <w:szCs w:val="20"/>
          <w:lang w:val="tr-TR"/>
        </w:rPr>
        <w:t xml:space="preserve"> </w:t>
      </w:r>
      <w:r>
        <w:rPr>
          <w:rFonts w:ascii="MrtmqsAdvTT3713a231" w:eastAsiaTheme="minorHAnsi" w:hAnsi="MrtmqsAdvTT3713a231" w:cs="MrtmqsAdvTT3713a231"/>
          <w:color w:val="131413"/>
          <w:sz w:val="20"/>
          <w:szCs w:val="20"/>
          <w:lang w:val="tr-TR"/>
        </w:rPr>
        <w:t>Nuclear Magnetic Resonance based</w:t>
      </w:r>
      <w:r w:rsidR="00D3737F">
        <w:rPr>
          <w:rFonts w:ascii="MrtmqsAdvTT3713a231" w:eastAsiaTheme="minorHAnsi" w:hAnsi="MrtmqsAdvTT3713a231" w:cs="MrtmqsAdvTT3713a231"/>
          <w:color w:val="131413"/>
          <w:sz w:val="20"/>
          <w:szCs w:val="20"/>
          <w:lang w:val="tr-TR"/>
        </w:rPr>
        <w:t xml:space="preserve"> </w:t>
      </w:r>
      <w:r>
        <w:rPr>
          <w:rFonts w:ascii="MrtmqsAdvTT3713a231" w:eastAsiaTheme="minorHAnsi" w:hAnsi="MrtmqsAdvTT3713a231" w:cs="MrtmqsAdvTT3713a231"/>
          <w:color w:val="131413"/>
          <w:sz w:val="20"/>
          <w:szCs w:val="20"/>
          <w:lang w:val="tr-TR"/>
        </w:rPr>
        <w:t xml:space="preserve">metabolomics profile, and mRNA abundance of gluconeogenic enzymes and lipid oxidation genes were determined. Pivotal knowledge was obtained on boron distribution in the body. Production parameters and mRNA abundance of the genes were not affected by the treatments. Postpartum nonesterified fatty acids, </w:t>
      </w:r>
      <w:r>
        <w:rPr>
          <w:rFonts w:ascii="NbxyrlAdvTT3713a231+03" w:eastAsiaTheme="minorHAnsi" w:hAnsi="NbxyrlAdvTT3713a231+03" w:cs="NbxyrlAdvTT3713a231+03"/>
          <w:color w:val="131413"/>
          <w:sz w:val="20"/>
          <w:szCs w:val="20"/>
          <w:lang w:val="tr-TR"/>
        </w:rPr>
        <w:t>β</w:t>
      </w:r>
      <w:r>
        <w:rPr>
          <w:rFonts w:ascii="MrtmqsAdvTT3713a231" w:eastAsiaTheme="minorHAnsi" w:hAnsi="MrtmqsAdvTT3713a231" w:cs="MrtmqsAdvTT3713a231"/>
          <w:color w:val="131413"/>
          <w:sz w:val="20"/>
          <w:szCs w:val="20"/>
          <w:lang w:val="tr-TR"/>
        </w:rPr>
        <w:t xml:space="preserve">-hydroxybutyrate, and triglyceride concentrations were significantly decreased in experimentals. The primary differences among groups were in lipid-soluble metabolites. There were significant differences in metabolites including postpartum valine, </w:t>
      </w:r>
      <w:r>
        <w:rPr>
          <w:rFonts w:ascii="NbxyrlAdvTT3713a231+03" w:eastAsiaTheme="minorHAnsi" w:hAnsi="NbxyrlAdvTT3713a231+03" w:cs="NbxyrlAdvTT3713a231+03"/>
          <w:color w:val="131413"/>
          <w:sz w:val="20"/>
          <w:szCs w:val="20"/>
          <w:lang w:val="tr-TR"/>
        </w:rPr>
        <w:t>β</w:t>
      </w:r>
      <w:r>
        <w:rPr>
          <w:rFonts w:ascii="MrtmqsAdvTT3713a231" w:eastAsiaTheme="minorHAnsi" w:hAnsi="MrtmqsAdvTT3713a231" w:cs="MrtmqsAdvTT3713a231"/>
          <w:color w:val="131413"/>
          <w:sz w:val="20"/>
          <w:szCs w:val="20"/>
          <w:lang w:val="tr-TR"/>
        </w:rPr>
        <w:t>-hydroxybutyrate, polyunsaturated fatty acid and citrate, propionate, isobutyrate, choline metabolites (betaine, phosphatidylcholine, and sphingomyelin), and some types of fatty acids and cholesterol in experimentals. Boron appears to be effective in minimizing negative energy balance and improving health of postpartum dairy cows.</w:t>
      </w:r>
      <w:r w:rsidR="00A9710C">
        <w:t>.</w:t>
      </w:r>
    </w:p>
    <w:p w:rsidR="00AE3E37" w:rsidRDefault="00A9710C" w:rsidP="005B64B9">
      <w:pPr>
        <w:pStyle w:val="Balk3"/>
        <w:spacing w:before="74"/>
        <w:ind w:left="0"/>
      </w:pPr>
      <w:r>
        <w:rPr>
          <w:b w:val="0"/>
        </w:rPr>
        <w:br w:type="column"/>
      </w:r>
    </w:p>
    <w:p w:rsidR="00AE3E37" w:rsidRDefault="005B64B9">
      <w:pPr>
        <w:pStyle w:val="GvdeMetni"/>
        <w:spacing w:before="2"/>
        <w:rPr>
          <w:rFonts w:ascii="Arial"/>
          <w:b/>
          <w:sz w:val="16"/>
        </w:rPr>
      </w:pPr>
      <w:r>
        <w:rPr>
          <w:rFonts w:ascii="Arial"/>
          <w:b/>
          <w:noProof/>
          <w:sz w:val="16"/>
          <w:lang w:val="tr-TR" w:eastAsia="tr-TR"/>
        </w:rPr>
        <w:drawing>
          <wp:inline distT="0" distB="0" distL="0" distR="0">
            <wp:extent cx="3165475" cy="1688856"/>
            <wp:effectExtent l="19050" t="0" r="0"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165475" cy="1688856"/>
                    </a:xfrm>
                    <a:prstGeom prst="rect">
                      <a:avLst/>
                    </a:prstGeom>
                    <a:noFill/>
                    <a:ln w="9525">
                      <a:noFill/>
                      <a:miter lim="800000"/>
                      <a:headEnd/>
                      <a:tailEnd/>
                    </a:ln>
                  </pic:spPr>
                </pic:pic>
              </a:graphicData>
            </a:graphic>
          </wp:inline>
        </w:drawing>
      </w:r>
    </w:p>
    <w:p w:rsidR="004C595C" w:rsidRDefault="004C595C" w:rsidP="006F4CEC">
      <w:pPr>
        <w:widowControl/>
        <w:autoSpaceDE w:val="0"/>
        <w:autoSpaceDN w:val="0"/>
        <w:adjustRightInd w:val="0"/>
        <w:jc w:val="both"/>
        <w:rPr>
          <w:rFonts w:asciiTheme="minorHAnsi" w:eastAsiaTheme="minorHAnsi" w:hAnsiTheme="minorHAnsi" w:cstheme="minorHAnsi"/>
          <w:color w:val="131413"/>
          <w:sz w:val="16"/>
          <w:szCs w:val="16"/>
          <w:lang w:val="tr-TR"/>
        </w:rPr>
      </w:pPr>
    </w:p>
    <w:p w:rsidR="005B64B9" w:rsidRPr="006F4CEC" w:rsidRDefault="005B64B9" w:rsidP="006F4CEC">
      <w:pPr>
        <w:widowControl/>
        <w:autoSpaceDE w:val="0"/>
        <w:autoSpaceDN w:val="0"/>
        <w:adjustRightInd w:val="0"/>
        <w:jc w:val="both"/>
        <w:rPr>
          <w:rFonts w:asciiTheme="minorHAnsi" w:hAnsiTheme="minorHAnsi" w:cstheme="minorHAnsi"/>
          <w:b/>
          <w:sz w:val="16"/>
          <w:szCs w:val="16"/>
        </w:rPr>
      </w:pPr>
      <w:r w:rsidRPr="006F4CEC">
        <w:rPr>
          <w:rFonts w:asciiTheme="minorHAnsi" w:eastAsiaTheme="minorHAnsi" w:hAnsiTheme="minorHAnsi" w:cstheme="minorHAnsi"/>
          <w:color w:val="131413"/>
          <w:sz w:val="16"/>
          <w:szCs w:val="16"/>
          <w:lang w:val="tr-TR"/>
        </w:rPr>
        <w:t>Fig. 1</w:t>
      </w:r>
      <w:r w:rsidR="006F4CEC" w:rsidRPr="006F4CEC">
        <w:rPr>
          <w:rFonts w:asciiTheme="minorHAnsi" w:eastAsiaTheme="minorHAnsi" w:hAnsiTheme="minorHAnsi" w:cstheme="minorHAnsi"/>
          <w:color w:val="131413"/>
          <w:sz w:val="16"/>
          <w:szCs w:val="16"/>
          <w:lang w:val="tr-TR"/>
        </w:rPr>
        <w:t>.</w:t>
      </w:r>
      <w:r w:rsidRPr="006F4CEC">
        <w:rPr>
          <w:rFonts w:asciiTheme="minorHAnsi" w:eastAsiaTheme="minorHAnsi" w:hAnsiTheme="minorHAnsi" w:cstheme="minorHAnsi"/>
          <w:color w:val="131413"/>
          <w:sz w:val="16"/>
          <w:szCs w:val="16"/>
          <w:lang w:val="tr-TR"/>
        </w:rPr>
        <w:t xml:space="preserve"> PCA-CA score plots of lipid-soluble extracts, discrimination among control group (C) (red dots), experimental group 1 (Exp 1) fed with diet containing 60 ppmboron (blue dots), experimental group 2 (Exp 2) fed with diet containing 120 ppm boron (green dots), and experimental group 3 (Exp 3) fed with diet containing 180 ppm boron (purple dots) at three different times: prepartum, partum, and postpartum. The confusion matrix and the accuracy of each comparison are also reported.</w:t>
      </w:r>
    </w:p>
    <w:p w:rsidR="00F410A3" w:rsidRDefault="00F410A3"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6F4CEC" w:rsidRPr="006F4CEC" w:rsidRDefault="006F4CEC" w:rsidP="006F4CEC">
      <w:pPr>
        <w:pStyle w:val="ListeParagraf"/>
        <w:widowControl/>
        <w:numPr>
          <w:ilvl w:val="0"/>
          <w:numId w:val="5"/>
        </w:numPr>
        <w:tabs>
          <w:tab w:val="left" w:pos="284"/>
        </w:tabs>
        <w:autoSpaceDE w:val="0"/>
        <w:autoSpaceDN w:val="0"/>
        <w:adjustRightInd w:val="0"/>
        <w:spacing w:before="103" w:line="216" w:lineRule="exact"/>
        <w:ind w:left="284" w:right="137" w:hanging="184"/>
        <w:rPr>
          <w:sz w:val="18"/>
        </w:rPr>
      </w:pPr>
      <w:r w:rsidRPr="006F4CEC">
        <w:rPr>
          <w:rFonts w:ascii="MrtmqsAdvTT3713a231" w:eastAsiaTheme="minorHAnsi" w:hAnsi="MrtmqsAdvTT3713a231" w:cs="MrtmqsAdvTT3713a231"/>
          <w:color w:val="131413"/>
          <w:sz w:val="17"/>
          <w:szCs w:val="17"/>
          <w:lang w:val="tr-TR"/>
        </w:rPr>
        <w:t xml:space="preserve">Xu C, Sun LW, Xia C, Zhang HY, Zheng JS, Wang JS (2016) </w:t>
      </w:r>
      <w:r w:rsidRPr="006F4CEC">
        <w:rPr>
          <w:rFonts w:ascii="MrtmqsAdvTT3713a231" w:eastAsiaTheme="minorHAnsi" w:hAnsi="MrtmqsAdvTT3713a231" w:cs="MrtmqsAdvTT3713a231"/>
          <w:color w:val="131413"/>
          <w:sz w:val="11"/>
          <w:szCs w:val="11"/>
          <w:lang w:val="tr-TR"/>
        </w:rPr>
        <w:t>1</w:t>
      </w:r>
      <w:r w:rsidRPr="006F4CEC">
        <w:rPr>
          <w:rFonts w:ascii="MrtmqsAdvTT3713a231" w:eastAsiaTheme="minorHAnsi" w:hAnsi="MrtmqsAdvTT3713a231" w:cs="MrtmqsAdvTT3713a231"/>
          <w:color w:val="131413"/>
          <w:sz w:val="17"/>
          <w:szCs w:val="17"/>
          <w:lang w:val="tr-TR"/>
        </w:rPr>
        <w:t>Hnuclear magnetic resonance-based plasma metabolic profiling of dairy cows with fatty liver. Asian-Australas J Anim Sci 29:219</w:t>
      </w:r>
      <w:r w:rsidRPr="006F4CEC">
        <w:rPr>
          <w:rFonts w:ascii="JghbmrAdvTT3713a231+20" w:eastAsiaTheme="minorHAnsi" w:hAnsi="JghbmrAdvTT3713a231+20" w:cs="JghbmrAdvTT3713a231+20"/>
          <w:color w:val="131413"/>
          <w:sz w:val="17"/>
          <w:szCs w:val="17"/>
          <w:lang w:val="tr-TR"/>
        </w:rPr>
        <w:t>–</w:t>
      </w:r>
      <w:r w:rsidRPr="006F4CEC">
        <w:rPr>
          <w:rFonts w:ascii="MrtmqsAdvTT3713a231" w:eastAsiaTheme="minorHAnsi" w:hAnsi="MrtmqsAdvTT3713a231" w:cs="MrtmqsAdvTT3713a231"/>
          <w:color w:val="131413"/>
          <w:sz w:val="17"/>
          <w:szCs w:val="17"/>
          <w:lang w:val="tr-TR"/>
        </w:rPr>
        <w:t>229</w:t>
      </w:r>
    </w:p>
    <w:p w:rsidR="006F4CEC" w:rsidRDefault="006F4CEC" w:rsidP="006F4CEC">
      <w:pPr>
        <w:pStyle w:val="ListeParagraf"/>
        <w:widowControl/>
        <w:numPr>
          <w:ilvl w:val="0"/>
          <w:numId w:val="5"/>
        </w:numPr>
        <w:tabs>
          <w:tab w:val="left" w:pos="384"/>
        </w:tabs>
        <w:autoSpaceDE w:val="0"/>
        <w:autoSpaceDN w:val="0"/>
        <w:adjustRightInd w:val="0"/>
        <w:spacing w:before="103" w:line="216" w:lineRule="exact"/>
        <w:ind w:left="284" w:right="137" w:hanging="142"/>
        <w:rPr>
          <w:rFonts w:ascii="MrtmqsAdvTT3713a231" w:eastAsiaTheme="minorHAnsi" w:hAnsi="MrtmqsAdvTT3713a231" w:cs="MrtmqsAdvTT3713a231"/>
          <w:color w:val="131413"/>
          <w:sz w:val="17"/>
          <w:szCs w:val="17"/>
          <w:lang w:val="tr-TR"/>
        </w:rPr>
      </w:pPr>
      <w:r w:rsidRPr="006F4CEC">
        <w:rPr>
          <w:rFonts w:ascii="MrtmqsAdvTT3713a231" w:eastAsiaTheme="minorHAnsi" w:hAnsi="MrtmqsAdvTT3713a231" w:cs="MrtmqsAdvTT3713a231"/>
          <w:color w:val="131413"/>
          <w:sz w:val="17"/>
          <w:szCs w:val="17"/>
          <w:lang w:val="tr-TR"/>
        </w:rPr>
        <w:t>Tatone EH, Gordon JL, Hubbs J, LeBlanc SJ, DeVries TJ, Duffield TF (2016) A systematic review and meta-analysis of the diagnostic accuracy of point-of-care tests for the detection of hyperketonemia in dairy cows. Prev Vet Med 130:18</w:t>
      </w:r>
      <w:r w:rsidRPr="006F4CEC">
        <w:rPr>
          <w:rFonts w:ascii="JghbmrAdvTT3713a231+20" w:eastAsiaTheme="minorHAnsi" w:hAnsi="JghbmrAdvTT3713a231+20" w:cs="JghbmrAdvTT3713a231+20"/>
          <w:color w:val="131413"/>
          <w:sz w:val="17"/>
          <w:szCs w:val="17"/>
          <w:lang w:val="tr-TR"/>
        </w:rPr>
        <w:t>–</w:t>
      </w:r>
      <w:r w:rsidRPr="006F4CEC">
        <w:rPr>
          <w:rFonts w:ascii="MrtmqsAdvTT3713a231" w:eastAsiaTheme="minorHAnsi" w:hAnsi="MrtmqsAdvTT3713a231" w:cs="MrtmqsAdvTT3713a231"/>
          <w:color w:val="131413"/>
          <w:sz w:val="17"/>
          <w:szCs w:val="17"/>
          <w:lang w:val="tr-TR"/>
        </w:rPr>
        <w:t>32.</w:t>
      </w:r>
    </w:p>
    <w:p w:rsidR="006F4CEC" w:rsidRPr="006F4CEC" w:rsidRDefault="005B64B9" w:rsidP="006F4CEC">
      <w:pPr>
        <w:pStyle w:val="ListeParagraf"/>
        <w:widowControl/>
        <w:numPr>
          <w:ilvl w:val="0"/>
          <w:numId w:val="5"/>
        </w:numPr>
        <w:tabs>
          <w:tab w:val="left" w:pos="284"/>
        </w:tabs>
        <w:autoSpaceDE w:val="0"/>
        <w:autoSpaceDN w:val="0"/>
        <w:adjustRightInd w:val="0"/>
        <w:spacing w:before="103" w:line="218" w:lineRule="exact"/>
        <w:ind w:left="284" w:right="137" w:hanging="142"/>
        <w:rPr>
          <w:rFonts w:asciiTheme="minorHAnsi" w:eastAsiaTheme="minorHAnsi" w:hAnsiTheme="minorHAnsi" w:cstheme="minorHAnsi"/>
          <w:color w:val="131413"/>
          <w:lang w:val="tr-TR"/>
        </w:rPr>
      </w:pPr>
      <w:r w:rsidRPr="006F4CEC">
        <w:rPr>
          <w:rFonts w:asciiTheme="minorHAnsi" w:eastAsiaTheme="minorHAnsi" w:hAnsiTheme="minorHAnsi" w:cstheme="minorHAnsi"/>
          <w:color w:val="131413"/>
          <w:sz w:val="18"/>
          <w:szCs w:val="18"/>
          <w:lang w:val="tr-TR"/>
        </w:rPr>
        <w:t>Ingvartsen KL, Moyes K (2013) Nutrition, immune function and</w:t>
      </w:r>
      <w:r w:rsidR="006F4CEC" w:rsidRPr="006F4CEC">
        <w:rPr>
          <w:rFonts w:asciiTheme="minorHAnsi" w:eastAsiaTheme="minorHAnsi" w:hAnsiTheme="minorHAnsi" w:cstheme="minorHAnsi"/>
          <w:color w:val="131413"/>
          <w:sz w:val="18"/>
          <w:szCs w:val="18"/>
          <w:lang w:val="tr-TR"/>
        </w:rPr>
        <w:t xml:space="preserve"> </w:t>
      </w:r>
      <w:r w:rsidRPr="006F4CEC">
        <w:rPr>
          <w:rFonts w:asciiTheme="minorHAnsi" w:eastAsiaTheme="minorHAnsi" w:hAnsiTheme="minorHAnsi" w:cstheme="minorHAnsi"/>
          <w:color w:val="131413"/>
          <w:sz w:val="18"/>
          <w:szCs w:val="18"/>
          <w:lang w:val="tr-TR"/>
        </w:rPr>
        <w:t>health of dairy cattle. Animal 7(Suppl 1):112–122</w:t>
      </w:r>
      <w:r w:rsidR="006F4CEC" w:rsidRPr="006F4CEC">
        <w:rPr>
          <w:rFonts w:asciiTheme="minorHAnsi" w:eastAsiaTheme="minorHAnsi" w:hAnsiTheme="minorHAnsi" w:cstheme="minorHAnsi"/>
          <w:color w:val="131413"/>
          <w:lang w:val="tr-TR"/>
        </w:rPr>
        <w:t>.</w:t>
      </w:r>
    </w:p>
    <w:p w:rsidR="006F4CEC" w:rsidRPr="006F4CEC" w:rsidRDefault="005B64B9" w:rsidP="006F4CEC">
      <w:pPr>
        <w:pStyle w:val="GvdeMetni"/>
        <w:numPr>
          <w:ilvl w:val="0"/>
          <w:numId w:val="5"/>
        </w:numPr>
        <w:spacing w:line="218" w:lineRule="exact"/>
        <w:ind w:left="284" w:hanging="185"/>
        <w:rPr>
          <w:rFonts w:asciiTheme="minorHAnsi" w:eastAsiaTheme="minorHAnsi" w:hAnsiTheme="minorHAnsi" w:cstheme="minorHAnsi"/>
          <w:color w:val="131413"/>
          <w:lang w:val="tr-TR"/>
        </w:rPr>
      </w:pPr>
      <w:r w:rsidRPr="006F4CEC">
        <w:rPr>
          <w:rFonts w:asciiTheme="minorHAnsi" w:eastAsiaTheme="minorHAnsi" w:hAnsiTheme="minorHAnsi" w:cstheme="minorHAnsi"/>
          <w:color w:val="131413"/>
          <w:lang w:val="tr-TR"/>
        </w:rPr>
        <w:t>Basoglu A, Baspinar N, Tenori L, Vignoli A, Yildiz R (2016) Plasma metabolomics in calves with acute bronchopneumonia. Metabolomics 12:1–</w:t>
      </w:r>
      <w:r w:rsidRPr="006F4CEC">
        <w:rPr>
          <w:rFonts w:ascii="MrtmqsAdvTT3713a231" w:eastAsiaTheme="minorHAnsi" w:hAnsi="MrtmqsAdvTT3713a231" w:cs="MrtmqsAdvTT3713a231"/>
          <w:color w:val="131413"/>
          <w:lang w:val="tr-TR"/>
        </w:rPr>
        <w:t>10</w:t>
      </w:r>
      <w:r w:rsidR="006F4CEC">
        <w:rPr>
          <w:rFonts w:ascii="MrtmqsAdvTT3713a231" w:eastAsiaTheme="minorHAnsi" w:hAnsi="MrtmqsAdvTT3713a231" w:cs="MrtmqsAdvTT3713a231"/>
          <w:color w:val="131413"/>
          <w:lang w:val="tr-TR"/>
        </w:rPr>
        <w:t>.</w:t>
      </w:r>
    </w:p>
    <w:p w:rsidR="006F4CEC" w:rsidRPr="006F4CEC" w:rsidRDefault="006F4CEC" w:rsidP="006F4CEC">
      <w:pPr>
        <w:pStyle w:val="GvdeMetni"/>
        <w:numPr>
          <w:ilvl w:val="0"/>
          <w:numId w:val="5"/>
        </w:numPr>
        <w:spacing w:line="218" w:lineRule="exact"/>
        <w:ind w:left="284" w:hanging="185"/>
        <w:rPr>
          <w:rFonts w:asciiTheme="minorHAnsi" w:eastAsiaTheme="minorHAnsi" w:hAnsiTheme="minorHAnsi" w:cstheme="minorHAnsi"/>
          <w:color w:val="131413"/>
          <w:lang w:val="tr-TR"/>
        </w:rPr>
      </w:pPr>
      <w:r w:rsidRPr="006F4CEC">
        <w:rPr>
          <w:rFonts w:ascii="MrtmqsAdvTT3713a231" w:eastAsiaTheme="minorHAnsi" w:hAnsi="MrtmqsAdvTT3713a231" w:cs="MrtmqsAdvTT3713a231"/>
          <w:color w:val="131413"/>
          <w:sz w:val="17"/>
          <w:szCs w:val="17"/>
          <w:lang w:val="tr-TR"/>
        </w:rPr>
        <w:t>Imhasly S, Bieli C, Naegeli H, Nyström L, Ruetten M, Gerspach C (2015) Blood plasma lipidome profile of dairy cows during the transition period. BMC Vet Res 11:252</w:t>
      </w:r>
    </w:p>
    <w:p w:rsidR="00AE3E37" w:rsidRDefault="00AE3E37" w:rsidP="008756E6">
      <w:pPr>
        <w:tabs>
          <w:tab w:val="left" w:pos="384"/>
        </w:tabs>
        <w:ind w:right="117"/>
      </w:pPr>
    </w:p>
    <w:p w:rsidR="00D3737F" w:rsidRDefault="00D3737F" w:rsidP="008756E6">
      <w:pPr>
        <w:tabs>
          <w:tab w:val="left" w:pos="384"/>
        </w:tabs>
        <w:ind w:right="117"/>
      </w:pPr>
    </w:p>
    <w:p w:rsidR="00D3737F" w:rsidRDefault="00D3737F" w:rsidP="008756E6">
      <w:pPr>
        <w:tabs>
          <w:tab w:val="left" w:pos="384"/>
        </w:tabs>
        <w:ind w:right="117"/>
      </w:pPr>
    </w:p>
    <w:p w:rsidR="00D3737F" w:rsidRPr="008756E6" w:rsidRDefault="00D3737F"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C10577">
      <w:pPr>
        <w:pStyle w:val="GvdeMetni"/>
        <w:spacing w:line="40" w:lineRule="exact"/>
        <w:ind w:left="2202"/>
        <w:rPr>
          <w:rFonts w:ascii="Calibri"/>
          <w:sz w:val="4"/>
        </w:rPr>
      </w:pPr>
      <w:r w:rsidRPr="00C10577">
        <w:rPr>
          <w:rFonts w:ascii="Calibri"/>
          <w:noProof/>
          <w:sz w:val="4"/>
          <w:lang w:val="en-IN" w:eastAsia="en-IN"/>
        </w:rPr>
      </w:r>
      <w:r w:rsidRPr="00C10577">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5B64B9">
        <w:rPr>
          <w:rFonts w:ascii="Arial"/>
          <w:noProof/>
          <w:color w:val="BF5A14"/>
          <w:lang w:val="tr-TR" w:eastAsia="tr-TR"/>
        </w:rPr>
        <w:drawing>
          <wp:inline distT="0" distB="0" distL="0" distR="0">
            <wp:extent cx="757610" cy="970687"/>
            <wp:effectExtent l="19050" t="0" r="4390" b="0"/>
            <wp:docPr id="2" name="1 Resim" descr="Abasog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asoglu.jpg"/>
                    <pic:cNvPicPr/>
                  </pic:nvPicPr>
                  <pic:blipFill>
                    <a:blip r:embed="rId10" cstate="print"/>
                    <a:stretch>
                      <a:fillRect/>
                    </a:stretch>
                  </pic:blipFill>
                  <pic:spPr>
                    <a:xfrm>
                      <a:off x="0" y="0"/>
                      <a:ext cx="758862" cy="972291"/>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F410A3">
      <w:pPr>
        <w:spacing w:before="41" w:line="154" w:lineRule="exact"/>
        <w:ind w:left="213" w:right="231"/>
        <w:jc w:val="both"/>
        <w:rPr>
          <w:rFonts w:ascii="Arial"/>
          <w:sz w:val="14"/>
        </w:rPr>
      </w:pPr>
      <w:r>
        <w:rPr>
          <w:rFonts w:ascii="Arial"/>
          <w:sz w:val="14"/>
        </w:rPr>
        <w:t>Abdullah Basoglu has been working at Selcuk University as an academic staff. He is interested in boron metabolism, omics and metabolic diseases in animals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F410A3" w:rsidRPr="005B6EEC">
          <w:rPr>
            <w:rStyle w:val="Kpr"/>
            <w:rFonts w:ascii="Arial"/>
            <w:sz w:val="14"/>
          </w:rPr>
          <w:t>abbasoglu@selcuk.edu.tr</w:t>
        </w:r>
      </w:hyperlink>
    </w:p>
    <w:p w:rsidR="00AE3E37" w:rsidRDefault="00C10577">
      <w:pPr>
        <w:pStyle w:val="GvdeMetni"/>
        <w:spacing w:before="2"/>
        <w:rPr>
          <w:rFonts w:ascii="Arial"/>
          <w:sz w:val="19"/>
        </w:rPr>
      </w:pPr>
      <w:r w:rsidRPr="00C1057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F25" w:rsidRDefault="00102F25">
      <w:r>
        <w:separator/>
      </w:r>
    </w:p>
  </w:endnote>
  <w:endnote w:type="continuationSeparator" w:id="0">
    <w:p w:rsidR="00102F25" w:rsidRDefault="00102F2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MrtmqsAdvTT3713a231">
    <w:altName w:val="Times New Roman"/>
    <w:panose1 w:val="00000000000000000000"/>
    <w:charset w:val="00"/>
    <w:family w:val="roman"/>
    <w:notTrueType/>
    <w:pitch w:val="default"/>
    <w:sig w:usb0="00000003" w:usb1="00000000" w:usb2="00000000" w:usb3="00000000" w:csb0="00000001" w:csb1="00000000"/>
  </w:font>
  <w:font w:name="JghbmrAdvTT3713a231+20">
    <w:altName w:val="Arial"/>
    <w:panose1 w:val="00000000000000000000"/>
    <w:charset w:val="00"/>
    <w:family w:val="swiss"/>
    <w:notTrueType/>
    <w:pitch w:val="default"/>
    <w:sig w:usb0="00000003" w:usb1="00000000" w:usb2="00000000" w:usb3="00000000" w:csb0="00000001" w:csb1="00000000"/>
  </w:font>
  <w:font w:name="NbxyrlAdvTT3713a231+03">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0577">
    <w:pPr>
      <w:pStyle w:val="GvdeMetni"/>
      <w:spacing w:line="14" w:lineRule="auto"/>
      <w:rPr>
        <w:sz w:val="20"/>
      </w:rPr>
    </w:pPr>
    <w:r w:rsidRPr="00C1057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1057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1057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F25" w:rsidRDefault="00102F25">
      <w:r>
        <w:separator/>
      </w:r>
    </w:p>
  </w:footnote>
  <w:footnote w:type="continuationSeparator" w:id="0">
    <w:p w:rsidR="00102F25" w:rsidRDefault="00102F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0577">
    <w:pPr>
      <w:pStyle w:val="GvdeMetni"/>
      <w:spacing w:line="14" w:lineRule="auto"/>
      <w:rPr>
        <w:sz w:val="20"/>
      </w:rPr>
    </w:pPr>
    <w:r w:rsidRPr="00C1057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1057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F54D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27DA16C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5FA391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83F7F"/>
    <w:rsid w:val="000E2911"/>
    <w:rsid w:val="00102F25"/>
    <w:rsid w:val="001263DF"/>
    <w:rsid w:val="002455EC"/>
    <w:rsid w:val="00254F54"/>
    <w:rsid w:val="00292ED9"/>
    <w:rsid w:val="00404E5B"/>
    <w:rsid w:val="00414F7B"/>
    <w:rsid w:val="004355DC"/>
    <w:rsid w:val="004749B4"/>
    <w:rsid w:val="00494130"/>
    <w:rsid w:val="004C595C"/>
    <w:rsid w:val="004F3523"/>
    <w:rsid w:val="005973B9"/>
    <w:rsid w:val="005B3A56"/>
    <w:rsid w:val="005B64B9"/>
    <w:rsid w:val="006060CE"/>
    <w:rsid w:val="0063497F"/>
    <w:rsid w:val="006F4CEC"/>
    <w:rsid w:val="008467EE"/>
    <w:rsid w:val="00873DF0"/>
    <w:rsid w:val="008756E6"/>
    <w:rsid w:val="008A08B6"/>
    <w:rsid w:val="009B2D44"/>
    <w:rsid w:val="00A07E82"/>
    <w:rsid w:val="00A9710C"/>
    <w:rsid w:val="00AE3E37"/>
    <w:rsid w:val="00B21A57"/>
    <w:rsid w:val="00C10577"/>
    <w:rsid w:val="00C33602"/>
    <w:rsid w:val="00CD6F55"/>
    <w:rsid w:val="00D2647D"/>
    <w:rsid w:val="00D3737F"/>
    <w:rsid w:val="00DE3104"/>
    <w:rsid w:val="00E26B10"/>
    <w:rsid w:val="00EC46FB"/>
    <w:rsid w:val="00F410A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basoglu@selcuk.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523</Words>
  <Characters>2984</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ronaldinho424</cp:lastModifiedBy>
  <cp:revision>6</cp:revision>
  <dcterms:created xsi:type="dcterms:W3CDTF">2017-08-11T08:04:00Z</dcterms:created>
  <dcterms:modified xsi:type="dcterms:W3CDTF">2017-08-11T08:47:00Z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