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7CF3" w:rsidRPr="00CE7CF3" w:rsidRDefault="00CE7CF3" w:rsidP="00CE7CF3">
      <w:pPr>
        <w:rPr>
          <w:rFonts w:asciiTheme="majorBidi" w:hAnsiTheme="majorBidi" w:cstheme="majorBidi"/>
          <w:b/>
          <w:bCs/>
        </w:rPr>
      </w:pPr>
      <w:r w:rsidRPr="00CE7CF3">
        <w:rPr>
          <w:rFonts w:asciiTheme="majorBidi" w:hAnsiTheme="majorBidi" w:cstheme="majorBidi"/>
          <w:b/>
          <w:bCs/>
        </w:rPr>
        <w:t>Biomarker discovery in Hyper-</w:t>
      </w:r>
      <w:proofErr w:type="spellStart"/>
      <w:r w:rsidRPr="00CE7CF3">
        <w:rPr>
          <w:rFonts w:asciiTheme="majorBidi" w:hAnsiTheme="majorBidi" w:cstheme="majorBidi"/>
          <w:b/>
          <w:bCs/>
        </w:rPr>
        <w:t>IgE</w:t>
      </w:r>
      <w:proofErr w:type="spellEnd"/>
      <w:r w:rsidRPr="00CE7CF3">
        <w:rPr>
          <w:rFonts w:asciiTheme="majorBidi" w:hAnsiTheme="majorBidi" w:cstheme="majorBidi"/>
          <w:b/>
          <w:bCs/>
        </w:rPr>
        <w:t xml:space="preserve"> Syndromes (HIES) using integrated OMICs analysis</w:t>
      </w:r>
    </w:p>
    <w:p w:rsidR="00CE7CF3" w:rsidRDefault="00CE7CF3" w:rsidP="00CE7CF3">
      <w:pPr>
        <w:rPr>
          <w:rFonts w:asciiTheme="majorBidi" w:hAnsiTheme="majorBidi" w:cstheme="majorBidi"/>
        </w:rPr>
      </w:pPr>
    </w:p>
    <w:p w:rsidR="00CE7CF3" w:rsidRPr="00CE7CF3" w:rsidRDefault="00CE7CF3" w:rsidP="00CE7CF3">
      <w:pPr>
        <w:rPr>
          <w:rFonts w:asciiTheme="majorBidi" w:hAnsiTheme="majorBidi" w:cstheme="majorBidi"/>
          <w:sz w:val="18"/>
          <w:szCs w:val="18"/>
        </w:rPr>
      </w:pPr>
      <w:r w:rsidRPr="00CE7CF3">
        <w:rPr>
          <w:rFonts w:asciiTheme="majorBidi" w:hAnsiTheme="majorBidi" w:cstheme="majorBidi"/>
          <w:sz w:val="18"/>
          <w:szCs w:val="18"/>
        </w:rPr>
        <w:t>Minnie Jacob</w:t>
      </w:r>
      <w:r w:rsidRPr="00CE7CF3">
        <w:rPr>
          <w:rFonts w:asciiTheme="majorBidi" w:hAnsiTheme="majorBidi" w:cstheme="majorBidi"/>
          <w:sz w:val="18"/>
          <w:szCs w:val="18"/>
          <w:vertAlign w:val="superscript"/>
        </w:rPr>
        <w:t>1</w:t>
      </w:r>
      <w:proofErr w:type="gramStart"/>
      <w:r w:rsidRPr="00CE7CF3">
        <w:rPr>
          <w:rFonts w:asciiTheme="majorBidi" w:hAnsiTheme="majorBidi" w:cstheme="majorBidi"/>
          <w:sz w:val="18"/>
          <w:szCs w:val="18"/>
        </w:rPr>
        <w:t>,</w:t>
      </w:r>
      <w:r w:rsidRPr="00CE7CF3">
        <w:rPr>
          <w:rFonts w:asciiTheme="majorBidi" w:hAnsiTheme="majorBidi" w:cstheme="majorBidi"/>
          <w:sz w:val="18"/>
          <w:szCs w:val="18"/>
          <w:vertAlign w:val="superscript"/>
        </w:rPr>
        <w:t>3</w:t>
      </w:r>
      <w:proofErr w:type="gramEnd"/>
      <w:r w:rsidRPr="00CE7CF3">
        <w:rPr>
          <w:rFonts w:asciiTheme="majorBidi" w:hAnsiTheme="majorBidi" w:cstheme="majorBidi"/>
          <w:sz w:val="18"/>
          <w:szCs w:val="18"/>
        </w:rPr>
        <w:t xml:space="preserve"> ,Andreas Lopata</w:t>
      </w:r>
      <w:r w:rsidRPr="00CE7CF3">
        <w:rPr>
          <w:rFonts w:asciiTheme="majorBidi" w:hAnsiTheme="majorBidi" w:cstheme="majorBidi"/>
          <w:sz w:val="18"/>
          <w:szCs w:val="18"/>
          <w:vertAlign w:val="superscript"/>
        </w:rPr>
        <w:t>3</w:t>
      </w:r>
      <w:r w:rsidRPr="00CE7CF3">
        <w:rPr>
          <w:rFonts w:asciiTheme="majorBidi" w:hAnsiTheme="majorBidi" w:cstheme="majorBidi"/>
          <w:sz w:val="18"/>
          <w:szCs w:val="18"/>
        </w:rPr>
        <w:t>, Anas Abdel Rahma</w:t>
      </w:r>
      <w:r w:rsidRPr="00CE7CF3">
        <w:rPr>
          <w:rFonts w:asciiTheme="majorBidi" w:hAnsiTheme="majorBidi" w:cstheme="majorBidi"/>
          <w:sz w:val="18"/>
          <w:szCs w:val="18"/>
        </w:rPr>
        <w:t>n</w:t>
      </w:r>
      <w:r w:rsidRPr="00CE7CF3">
        <w:rPr>
          <w:rFonts w:asciiTheme="majorBidi" w:hAnsiTheme="majorBidi" w:cstheme="majorBidi"/>
          <w:sz w:val="18"/>
          <w:szCs w:val="18"/>
          <w:vertAlign w:val="superscript"/>
        </w:rPr>
        <w:t>1</w:t>
      </w:r>
      <w:r w:rsidRPr="00CE7CF3">
        <w:rPr>
          <w:rFonts w:asciiTheme="majorBidi" w:hAnsiTheme="majorBidi" w:cstheme="majorBidi"/>
          <w:sz w:val="18"/>
          <w:szCs w:val="18"/>
        </w:rPr>
        <w:t>,</w:t>
      </w:r>
      <w:r w:rsidRPr="00CE7CF3">
        <w:rPr>
          <w:rFonts w:asciiTheme="majorBidi" w:hAnsiTheme="majorBidi" w:cstheme="majorBidi"/>
          <w:sz w:val="18"/>
          <w:szCs w:val="18"/>
          <w:vertAlign w:val="superscript"/>
        </w:rPr>
        <w:t>2</w:t>
      </w:r>
      <w:r w:rsidRPr="00CE7CF3">
        <w:rPr>
          <w:rFonts w:asciiTheme="majorBidi" w:hAnsiTheme="majorBidi" w:cstheme="majorBidi"/>
          <w:sz w:val="18"/>
          <w:szCs w:val="18"/>
        </w:rPr>
        <w:t xml:space="preserve">, </w:t>
      </w:r>
      <w:proofErr w:type="spellStart"/>
      <w:r w:rsidRPr="00CE7CF3">
        <w:rPr>
          <w:rFonts w:asciiTheme="majorBidi" w:hAnsiTheme="majorBidi" w:cstheme="majorBidi"/>
          <w:sz w:val="18"/>
          <w:szCs w:val="18"/>
        </w:rPr>
        <w:t>Majed</w:t>
      </w:r>
      <w:proofErr w:type="spellEnd"/>
      <w:r w:rsidRPr="00CE7CF3">
        <w:rPr>
          <w:rFonts w:asciiTheme="majorBidi" w:hAnsiTheme="majorBidi" w:cstheme="majorBidi"/>
          <w:sz w:val="18"/>
          <w:szCs w:val="18"/>
        </w:rPr>
        <w:t xml:space="preserve"> Dasouki</w:t>
      </w:r>
      <w:r w:rsidRPr="00CE7CF3">
        <w:rPr>
          <w:rFonts w:asciiTheme="majorBidi" w:hAnsiTheme="majorBidi" w:cstheme="majorBidi"/>
          <w:sz w:val="18"/>
          <w:szCs w:val="18"/>
          <w:vertAlign w:val="superscript"/>
        </w:rPr>
        <w:t>1</w:t>
      </w:r>
    </w:p>
    <w:p w:rsidR="00CE7CF3" w:rsidRPr="00CE7CF3" w:rsidRDefault="00CE7CF3" w:rsidP="00CE7CF3">
      <w:pPr>
        <w:rPr>
          <w:rFonts w:asciiTheme="majorBidi" w:hAnsiTheme="majorBidi" w:cstheme="majorBidi"/>
          <w:sz w:val="18"/>
          <w:szCs w:val="18"/>
        </w:rPr>
      </w:pPr>
      <w:proofErr w:type="gramStart"/>
      <w:r>
        <w:rPr>
          <w:rFonts w:asciiTheme="majorBidi" w:hAnsiTheme="majorBidi" w:cstheme="majorBidi"/>
          <w:sz w:val="18"/>
          <w:szCs w:val="18"/>
        </w:rPr>
        <w:t xml:space="preserve">1. </w:t>
      </w:r>
      <w:r w:rsidRPr="00CE7CF3">
        <w:rPr>
          <w:rFonts w:asciiTheme="majorBidi" w:hAnsiTheme="majorBidi" w:cstheme="majorBidi"/>
          <w:sz w:val="18"/>
          <w:szCs w:val="18"/>
        </w:rPr>
        <w:t>King Faisal Specialist Hospital and Research Center, Riyadh, Saudi Arabia.</w:t>
      </w:r>
      <w:proofErr w:type="gramEnd"/>
    </w:p>
    <w:p w:rsidR="00CE7CF3" w:rsidRPr="00CE7CF3" w:rsidRDefault="00CE7CF3" w:rsidP="00CE7CF3">
      <w:pPr>
        <w:rPr>
          <w:rFonts w:asciiTheme="majorBidi" w:hAnsiTheme="majorBidi" w:cstheme="majorBidi"/>
          <w:sz w:val="18"/>
          <w:szCs w:val="18"/>
        </w:rPr>
      </w:pPr>
      <w:r w:rsidRPr="00CE7CF3">
        <w:rPr>
          <w:rFonts w:asciiTheme="majorBidi" w:hAnsiTheme="majorBidi" w:cstheme="majorBidi"/>
          <w:sz w:val="18"/>
          <w:szCs w:val="18"/>
        </w:rPr>
        <w:t>2. College of Medicine, Al- Faisal University, Riyadh, Saudi Arabia</w:t>
      </w:r>
    </w:p>
    <w:p w:rsidR="00CE7CF3" w:rsidRPr="00CE7CF3" w:rsidRDefault="00CE7CF3" w:rsidP="00CE7CF3">
      <w:pPr>
        <w:rPr>
          <w:rFonts w:asciiTheme="majorBidi" w:hAnsiTheme="majorBidi" w:cstheme="majorBidi"/>
          <w:sz w:val="18"/>
          <w:szCs w:val="18"/>
        </w:rPr>
      </w:pPr>
      <w:proofErr w:type="gramStart"/>
      <w:r w:rsidRPr="00CE7CF3">
        <w:rPr>
          <w:rFonts w:asciiTheme="majorBidi" w:hAnsiTheme="majorBidi" w:cstheme="majorBidi"/>
          <w:sz w:val="18"/>
          <w:szCs w:val="18"/>
        </w:rPr>
        <w:t>3</w:t>
      </w:r>
      <w:r w:rsidRPr="00CE7CF3">
        <w:rPr>
          <w:rFonts w:asciiTheme="majorBidi" w:hAnsiTheme="majorBidi" w:cstheme="majorBidi"/>
          <w:sz w:val="18"/>
          <w:szCs w:val="18"/>
        </w:rPr>
        <w:t>. James Cook University, Townville, Australia.</w:t>
      </w:r>
      <w:proofErr w:type="gramEnd"/>
    </w:p>
    <w:p w:rsidR="00CE7CF3" w:rsidRPr="00CE7CF3" w:rsidRDefault="00CE7CF3" w:rsidP="00CE7CF3">
      <w:pPr>
        <w:rPr>
          <w:rFonts w:asciiTheme="majorBidi" w:hAnsiTheme="majorBidi" w:cstheme="majorBidi"/>
        </w:rPr>
      </w:pPr>
    </w:p>
    <w:p w:rsidR="00CE7CF3" w:rsidRPr="00CE7CF3" w:rsidRDefault="00CE7CF3" w:rsidP="00CE7CF3">
      <w:pPr>
        <w:rPr>
          <w:rFonts w:asciiTheme="majorBidi" w:hAnsiTheme="majorBidi" w:cstheme="majorBidi"/>
        </w:rPr>
      </w:pPr>
      <w:r w:rsidRPr="00CE7CF3">
        <w:rPr>
          <w:rFonts w:asciiTheme="majorBidi" w:hAnsiTheme="majorBidi" w:cstheme="majorBidi"/>
          <w:b/>
          <w:bCs/>
        </w:rPr>
        <w:t>Background</w:t>
      </w:r>
      <w:r w:rsidRPr="00CE7CF3">
        <w:rPr>
          <w:rFonts w:asciiTheme="majorBidi" w:hAnsiTheme="majorBidi" w:cstheme="majorBidi"/>
        </w:rPr>
        <w:t>: Primary Immunodeficiency (PID), a rare group of genetic disorders, is characterized by increased susceptibility to various infections, growth failure, eczema and malignancy. Hyper-</w:t>
      </w:r>
      <w:proofErr w:type="spellStart"/>
      <w:r w:rsidRPr="00CE7CF3">
        <w:rPr>
          <w:rFonts w:asciiTheme="majorBidi" w:hAnsiTheme="majorBidi" w:cstheme="majorBidi"/>
        </w:rPr>
        <w:t>IgE</w:t>
      </w:r>
      <w:proofErr w:type="spellEnd"/>
      <w:r w:rsidRPr="00CE7CF3">
        <w:rPr>
          <w:rFonts w:asciiTheme="majorBidi" w:hAnsiTheme="majorBidi" w:cstheme="majorBidi"/>
        </w:rPr>
        <w:t xml:space="preserve"> Syndromes (HIES) are a heterogeneous group of heritable inborn errors of immune function and include deficiencies in DOCK8, PGM3, STAT3 and severe atopic dermatitis. </w:t>
      </w:r>
    </w:p>
    <w:p w:rsidR="00CE7CF3" w:rsidRPr="00CE7CF3" w:rsidRDefault="00CE7CF3" w:rsidP="00CE7CF3">
      <w:pPr>
        <w:rPr>
          <w:rFonts w:asciiTheme="majorBidi" w:hAnsiTheme="majorBidi" w:cstheme="majorBidi"/>
        </w:rPr>
      </w:pPr>
      <w:r w:rsidRPr="00CE7CF3">
        <w:rPr>
          <w:rFonts w:asciiTheme="majorBidi" w:hAnsiTheme="majorBidi" w:cstheme="majorBidi"/>
          <w:b/>
          <w:bCs/>
        </w:rPr>
        <w:t>Aim</w:t>
      </w:r>
      <w:r w:rsidRPr="00CE7CF3">
        <w:rPr>
          <w:rFonts w:asciiTheme="majorBidi" w:hAnsiTheme="majorBidi" w:cstheme="majorBidi"/>
        </w:rPr>
        <w:t xml:space="preserve">: To identify potential novel </w:t>
      </w:r>
      <w:proofErr w:type="spellStart"/>
      <w:r w:rsidRPr="00CE7CF3">
        <w:rPr>
          <w:rFonts w:asciiTheme="majorBidi" w:hAnsiTheme="majorBidi" w:cstheme="majorBidi"/>
        </w:rPr>
        <w:t>metabolomic</w:t>
      </w:r>
      <w:proofErr w:type="spellEnd"/>
      <w:r w:rsidRPr="00CE7CF3">
        <w:rPr>
          <w:rFonts w:asciiTheme="majorBidi" w:hAnsiTheme="majorBidi" w:cstheme="majorBidi"/>
        </w:rPr>
        <w:t xml:space="preserve"> and proteomic biomarkers which may help in predicting disease course, diagnosis and response to therapy in individuals with HIES. </w:t>
      </w:r>
    </w:p>
    <w:p w:rsidR="00CE7CF3" w:rsidRPr="00CE7CF3" w:rsidRDefault="00CE7CF3" w:rsidP="00CE7CF3">
      <w:pPr>
        <w:rPr>
          <w:rFonts w:asciiTheme="majorBidi" w:hAnsiTheme="majorBidi" w:cstheme="majorBidi"/>
        </w:rPr>
      </w:pPr>
      <w:r w:rsidRPr="00CE7CF3">
        <w:rPr>
          <w:rFonts w:asciiTheme="majorBidi" w:hAnsiTheme="majorBidi" w:cstheme="majorBidi"/>
          <w:b/>
          <w:bCs/>
        </w:rPr>
        <w:t>Method</w:t>
      </w:r>
      <w:r w:rsidRPr="00CE7CF3">
        <w:rPr>
          <w:rFonts w:asciiTheme="majorBidi" w:hAnsiTheme="majorBidi" w:cstheme="majorBidi"/>
        </w:rPr>
        <w:t xml:space="preserve">:  </w:t>
      </w:r>
      <w:proofErr w:type="spellStart"/>
      <w:r w:rsidRPr="00CE7CF3">
        <w:rPr>
          <w:rFonts w:asciiTheme="majorBidi" w:hAnsiTheme="majorBidi" w:cstheme="majorBidi"/>
        </w:rPr>
        <w:t>Lymphoblastoid</w:t>
      </w:r>
      <w:proofErr w:type="spellEnd"/>
      <w:r w:rsidRPr="00CE7CF3">
        <w:rPr>
          <w:rFonts w:asciiTheme="majorBidi" w:hAnsiTheme="majorBidi" w:cstheme="majorBidi"/>
        </w:rPr>
        <w:t xml:space="preserve"> cell lines were established from patients with HIES. Comprehensive “multi-OMICs” profiling using LC-MS/MS (metabolomics, proteomics), and RNA-</w:t>
      </w:r>
      <w:proofErr w:type="spellStart"/>
      <w:r w:rsidRPr="00CE7CF3">
        <w:rPr>
          <w:rFonts w:asciiTheme="majorBidi" w:hAnsiTheme="majorBidi" w:cstheme="majorBidi"/>
        </w:rPr>
        <w:t>Seq</w:t>
      </w:r>
      <w:proofErr w:type="spellEnd"/>
      <w:r w:rsidRPr="00CE7CF3">
        <w:rPr>
          <w:rFonts w:asciiTheme="majorBidi" w:hAnsiTheme="majorBidi" w:cstheme="majorBidi"/>
        </w:rPr>
        <w:t xml:space="preserve"> (</w:t>
      </w:r>
      <w:proofErr w:type="spellStart"/>
      <w:r w:rsidRPr="00CE7CF3">
        <w:rPr>
          <w:rFonts w:asciiTheme="majorBidi" w:hAnsiTheme="majorBidi" w:cstheme="majorBidi"/>
        </w:rPr>
        <w:t>transcriptomics</w:t>
      </w:r>
      <w:proofErr w:type="spellEnd"/>
      <w:r w:rsidRPr="00CE7CF3">
        <w:rPr>
          <w:rFonts w:asciiTheme="majorBidi" w:hAnsiTheme="majorBidi" w:cstheme="majorBidi"/>
        </w:rPr>
        <w:t xml:space="preserve">) were performed on these cell lines. Multi-OMICs data was analyzed using differential expression, Ingenuity Pathway Analysis (IPA) as well as the </w:t>
      </w:r>
      <w:proofErr w:type="spellStart"/>
      <w:r w:rsidRPr="00CE7CF3">
        <w:rPr>
          <w:rFonts w:asciiTheme="majorBidi" w:hAnsiTheme="majorBidi" w:cstheme="majorBidi"/>
        </w:rPr>
        <w:t>Genomatix</w:t>
      </w:r>
      <w:proofErr w:type="spellEnd"/>
      <w:r w:rsidRPr="00CE7CF3">
        <w:rPr>
          <w:rFonts w:asciiTheme="majorBidi" w:hAnsiTheme="majorBidi" w:cstheme="majorBidi"/>
        </w:rPr>
        <w:t xml:space="preserve"> Pathway system tool which creates a network functionally related genes.  </w:t>
      </w:r>
    </w:p>
    <w:p w:rsidR="00CE7CF3" w:rsidRPr="00CE7CF3" w:rsidRDefault="00CE7CF3" w:rsidP="00CE7CF3">
      <w:pPr>
        <w:rPr>
          <w:rFonts w:asciiTheme="majorBidi" w:hAnsiTheme="majorBidi" w:cstheme="majorBidi"/>
        </w:rPr>
      </w:pPr>
      <w:r w:rsidRPr="00CE7CF3">
        <w:rPr>
          <w:rFonts w:asciiTheme="majorBidi" w:hAnsiTheme="majorBidi" w:cstheme="majorBidi"/>
          <w:b/>
          <w:bCs/>
        </w:rPr>
        <w:t>Results</w:t>
      </w:r>
      <w:r w:rsidRPr="00CE7CF3">
        <w:rPr>
          <w:rFonts w:asciiTheme="majorBidi" w:hAnsiTheme="majorBidi" w:cstheme="majorBidi"/>
        </w:rPr>
        <w:t xml:space="preserve">: Multiple canonical pathways, especially EIF2 signaling, P13/AKT signaling, epithelial </w:t>
      </w:r>
      <w:proofErr w:type="spellStart"/>
      <w:r w:rsidRPr="00CE7CF3">
        <w:rPr>
          <w:rFonts w:asciiTheme="majorBidi" w:hAnsiTheme="majorBidi" w:cstheme="majorBidi"/>
        </w:rPr>
        <w:t>adherens</w:t>
      </w:r>
      <w:proofErr w:type="spellEnd"/>
      <w:r w:rsidRPr="00CE7CF3">
        <w:rPr>
          <w:rFonts w:asciiTheme="majorBidi" w:hAnsiTheme="majorBidi" w:cstheme="majorBidi"/>
        </w:rPr>
        <w:t xml:space="preserve"> junction signaling &amp; its remodeling, protein </w:t>
      </w:r>
      <w:proofErr w:type="spellStart"/>
      <w:r w:rsidRPr="00CE7CF3">
        <w:rPr>
          <w:rFonts w:asciiTheme="majorBidi" w:hAnsiTheme="majorBidi" w:cstheme="majorBidi"/>
        </w:rPr>
        <w:t>ubiquitination</w:t>
      </w:r>
      <w:proofErr w:type="spellEnd"/>
      <w:r w:rsidRPr="00CE7CF3">
        <w:rPr>
          <w:rFonts w:asciiTheme="majorBidi" w:hAnsiTheme="majorBidi" w:cstheme="majorBidi"/>
        </w:rPr>
        <w:t xml:space="preserve"> pathway, glycolysis as well as pathways of pyrimidine </w:t>
      </w:r>
      <w:proofErr w:type="spellStart"/>
      <w:r w:rsidRPr="00CE7CF3">
        <w:rPr>
          <w:rFonts w:asciiTheme="majorBidi" w:hAnsiTheme="majorBidi" w:cstheme="majorBidi"/>
        </w:rPr>
        <w:t>ribonucleotides</w:t>
      </w:r>
      <w:proofErr w:type="spellEnd"/>
      <w:r w:rsidRPr="00CE7CF3">
        <w:rPr>
          <w:rFonts w:asciiTheme="majorBidi" w:hAnsiTheme="majorBidi" w:cstheme="majorBidi"/>
        </w:rPr>
        <w:t xml:space="preserve"> were significantly perturbed with an impact on cellular growth and proliferation; amino Acid metabolism; DNA replication, recombination, and repair. Adenosine and </w:t>
      </w:r>
      <w:proofErr w:type="spellStart"/>
      <w:r w:rsidRPr="00CE7CF3">
        <w:rPr>
          <w:rFonts w:asciiTheme="majorBidi" w:hAnsiTheme="majorBidi" w:cstheme="majorBidi"/>
        </w:rPr>
        <w:t>homocysteine</w:t>
      </w:r>
      <w:proofErr w:type="spellEnd"/>
      <w:r w:rsidRPr="00CE7CF3">
        <w:rPr>
          <w:rFonts w:asciiTheme="majorBidi" w:hAnsiTheme="majorBidi" w:cstheme="majorBidi"/>
        </w:rPr>
        <w:t xml:space="preserve"> were most </w:t>
      </w:r>
      <w:proofErr w:type="spellStart"/>
      <w:r w:rsidRPr="00CE7CF3">
        <w:rPr>
          <w:rFonts w:asciiTheme="majorBidi" w:hAnsiTheme="majorBidi" w:cstheme="majorBidi"/>
        </w:rPr>
        <w:t>upregulated</w:t>
      </w:r>
      <w:proofErr w:type="spellEnd"/>
      <w:r w:rsidRPr="00CE7CF3">
        <w:rPr>
          <w:rFonts w:asciiTheme="majorBidi" w:hAnsiTheme="majorBidi" w:cstheme="majorBidi"/>
        </w:rPr>
        <w:t xml:space="preserve"> while acetyl-L-</w:t>
      </w:r>
      <w:proofErr w:type="spellStart"/>
      <w:r w:rsidRPr="00CE7CF3">
        <w:rPr>
          <w:rFonts w:asciiTheme="majorBidi" w:hAnsiTheme="majorBidi" w:cstheme="majorBidi"/>
        </w:rPr>
        <w:t>carnitine</w:t>
      </w:r>
      <w:proofErr w:type="spellEnd"/>
      <w:r w:rsidRPr="00CE7CF3">
        <w:rPr>
          <w:rFonts w:asciiTheme="majorBidi" w:hAnsiTheme="majorBidi" w:cstheme="majorBidi"/>
        </w:rPr>
        <w:t xml:space="preserve">, glutathione and several pyrimidine </w:t>
      </w:r>
      <w:proofErr w:type="spellStart"/>
      <w:r w:rsidRPr="00CE7CF3">
        <w:rPr>
          <w:rFonts w:asciiTheme="majorBidi" w:hAnsiTheme="majorBidi" w:cstheme="majorBidi"/>
        </w:rPr>
        <w:t>ribonucleotides</w:t>
      </w:r>
      <w:proofErr w:type="spellEnd"/>
      <w:r w:rsidRPr="00CE7CF3">
        <w:rPr>
          <w:rFonts w:asciiTheme="majorBidi" w:hAnsiTheme="majorBidi" w:cstheme="majorBidi"/>
        </w:rPr>
        <w:t>. Infectious diseases and cancer were the top diseases identified by IPA analysis with MYC, 5-</w:t>
      </w:r>
      <w:proofErr w:type="gramStart"/>
      <w:r w:rsidRPr="00CE7CF3">
        <w:rPr>
          <w:rFonts w:asciiTheme="majorBidi" w:hAnsiTheme="majorBidi" w:cstheme="majorBidi"/>
        </w:rPr>
        <w:t>FU  and</w:t>
      </w:r>
      <w:proofErr w:type="gramEnd"/>
      <w:r w:rsidRPr="00CE7CF3">
        <w:rPr>
          <w:rFonts w:asciiTheme="majorBidi" w:hAnsiTheme="majorBidi" w:cstheme="majorBidi"/>
        </w:rPr>
        <w:t xml:space="preserve"> </w:t>
      </w:r>
      <w:proofErr w:type="spellStart"/>
      <w:r w:rsidRPr="00CE7CF3">
        <w:rPr>
          <w:rFonts w:asciiTheme="majorBidi" w:hAnsiTheme="majorBidi" w:cstheme="majorBidi"/>
        </w:rPr>
        <w:t>sirolimus</w:t>
      </w:r>
      <w:proofErr w:type="spellEnd"/>
      <w:r w:rsidRPr="00CE7CF3">
        <w:rPr>
          <w:rFonts w:asciiTheme="majorBidi" w:hAnsiTheme="majorBidi" w:cstheme="majorBidi"/>
        </w:rPr>
        <w:t xml:space="preserve"> as the upstream regulators. Several interacting immune-modulators including IL6</w:t>
      </w:r>
      <w:proofErr w:type="gramStart"/>
      <w:r w:rsidRPr="00CE7CF3">
        <w:rPr>
          <w:rFonts w:asciiTheme="majorBidi" w:hAnsiTheme="majorBidi" w:cstheme="majorBidi"/>
        </w:rPr>
        <w:t>,7,17</w:t>
      </w:r>
      <w:proofErr w:type="gramEnd"/>
      <w:r w:rsidRPr="00CE7CF3">
        <w:rPr>
          <w:rFonts w:asciiTheme="majorBidi" w:hAnsiTheme="majorBidi" w:cstheme="majorBidi"/>
        </w:rPr>
        <w:t xml:space="preserve"> and IFNG. DOCK8, STAT3 and ARHGEF2 is</w:t>
      </w:r>
      <w:r>
        <w:rPr>
          <w:rFonts w:asciiTheme="majorBidi" w:hAnsiTheme="majorBidi" w:cstheme="majorBidi"/>
        </w:rPr>
        <w:t>o</w:t>
      </w:r>
      <w:bookmarkStart w:id="0" w:name="_GoBack"/>
      <w:bookmarkEnd w:id="0"/>
      <w:r w:rsidRPr="00CE7CF3">
        <w:rPr>
          <w:rFonts w:asciiTheme="majorBidi" w:hAnsiTheme="majorBidi" w:cstheme="majorBidi"/>
        </w:rPr>
        <w:t xml:space="preserve">forms were differentially expressed and appeared to be disease specific. </w:t>
      </w:r>
    </w:p>
    <w:p w:rsidR="008C7FC5" w:rsidRPr="00CE7CF3" w:rsidRDefault="00CE7CF3" w:rsidP="00CE7CF3">
      <w:pPr>
        <w:rPr>
          <w:rFonts w:asciiTheme="majorBidi" w:hAnsiTheme="majorBidi" w:cstheme="majorBidi"/>
        </w:rPr>
      </w:pPr>
      <w:r w:rsidRPr="00CE7CF3">
        <w:rPr>
          <w:rFonts w:asciiTheme="majorBidi" w:hAnsiTheme="majorBidi" w:cstheme="majorBidi"/>
          <w:b/>
          <w:bCs/>
        </w:rPr>
        <w:t>Conclusion</w:t>
      </w:r>
      <w:r w:rsidRPr="00CE7CF3">
        <w:rPr>
          <w:rFonts w:asciiTheme="majorBidi" w:hAnsiTheme="majorBidi" w:cstheme="majorBidi"/>
        </w:rPr>
        <w:t>: Combined “multi-OMICs” analysis in DOCK8 deficiency identified “apparently” unique perturbations in multiple cellular processes and pathways leading to predisposition to infection and cancer.</w:t>
      </w:r>
    </w:p>
    <w:sectPr w:rsidR="008C7FC5" w:rsidRPr="00CE7C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E7CF3"/>
    <w:rsid w:val="008C7FC5"/>
    <w:rsid w:val="00B40EE3"/>
    <w:rsid w:val="00CE7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E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0E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347</Words>
  <Characters>1979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f36205</dc:creator>
  <cp:lastModifiedBy>f36205</cp:lastModifiedBy>
  <cp:revision>1</cp:revision>
  <dcterms:created xsi:type="dcterms:W3CDTF">2017-07-30T07:50:00Z</dcterms:created>
  <dcterms:modified xsi:type="dcterms:W3CDTF">2017-07-30T07:55:00Z</dcterms:modified>
</cp:coreProperties>
</file>