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DB0" w:rsidRDefault="00160DB0" w:rsidP="00160DB0">
      <w:pPr>
        <w:pStyle w:val="BodyText"/>
        <w:spacing w:before="73" w:line="198" w:lineRule="exact"/>
        <w:ind w:left="100" w:right="5987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160DB0">
        <w:rPr>
          <w:rFonts w:asciiTheme="majorBidi" w:hAnsiTheme="majorBidi" w:cstheme="majorBidi"/>
          <w:b/>
          <w:bCs/>
          <w:sz w:val="24"/>
          <w:szCs w:val="24"/>
        </w:rPr>
        <w:t>Is Propofol Safe If Given by Non-anesthesia Providers?</w:t>
      </w:r>
    </w:p>
    <w:p w:rsidR="009E76B4" w:rsidRPr="00615020" w:rsidRDefault="009E76B4" w:rsidP="00160DB0">
      <w:pPr>
        <w:pStyle w:val="BodyText"/>
        <w:spacing w:before="73" w:line="198" w:lineRule="exact"/>
        <w:ind w:left="100" w:right="5987"/>
        <w:rPr>
          <w:rFonts w:asciiTheme="majorBidi" w:hAnsiTheme="majorBidi" w:cstheme="majorBidi"/>
          <w:sz w:val="24"/>
          <w:szCs w:val="24"/>
        </w:rPr>
      </w:pPr>
      <w:r w:rsidRPr="00615020">
        <w:rPr>
          <w:rFonts w:asciiTheme="majorBidi" w:hAnsiTheme="majorBidi" w:cstheme="majorBidi"/>
          <w:sz w:val="24"/>
          <w:szCs w:val="24"/>
        </w:rPr>
        <w:t xml:space="preserve">Ali </w:t>
      </w:r>
      <w:proofErr w:type="spellStart"/>
      <w:r w:rsidRPr="00615020">
        <w:rPr>
          <w:rFonts w:asciiTheme="majorBidi" w:hAnsiTheme="majorBidi" w:cstheme="majorBidi"/>
          <w:sz w:val="24"/>
          <w:szCs w:val="24"/>
        </w:rPr>
        <w:t>saad</w:t>
      </w:r>
      <w:proofErr w:type="spellEnd"/>
      <w:r w:rsidRPr="00615020">
        <w:rPr>
          <w:rFonts w:asciiTheme="majorBidi" w:hAnsiTheme="majorBidi" w:cstheme="majorBidi"/>
          <w:sz w:val="24"/>
          <w:szCs w:val="24"/>
        </w:rPr>
        <w:t xml:space="preserve">- </w:t>
      </w:r>
      <w:r w:rsidR="00CB02F0">
        <w:rPr>
          <w:rFonts w:asciiTheme="majorBidi" w:hAnsiTheme="majorBidi" w:cstheme="majorBidi"/>
          <w:sz w:val="24"/>
          <w:szCs w:val="24"/>
        </w:rPr>
        <w:t>MBBCH, MS anesthesia, ICU-</w:t>
      </w:r>
      <w:r w:rsidR="00160DB0">
        <w:rPr>
          <w:rFonts w:asciiTheme="majorBidi" w:hAnsiTheme="majorBidi" w:cstheme="majorBidi"/>
          <w:sz w:val="24"/>
          <w:szCs w:val="24"/>
        </w:rPr>
        <w:t>Mansoura university-Egypt</w:t>
      </w:r>
    </w:p>
    <w:p w:rsidR="00615020" w:rsidRDefault="00615020">
      <w:pPr>
        <w:rPr>
          <w:rFonts w:ascii="Arial"/>
          <w:sz w:val="21"/>
        </w:rPr>
      </w:pPr>
    </w:p>
    <w:p w:rsidR="00A06951" w:rsidRDefault="00A06951">
      <w:pPr>
        <w:rPr>
          <w:rFonts w:ascii="Arial"/>
          <w:sz w:val="21"/>
        </w:rPr>
        <w:sectPr w:rsidR="00A0695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>
        <w:rPr>
          <w:rFonts w:ascii="Arial"/>
          <w:sz w:val="21"/>
        </w:rPr>
        <w:t>Ahamdi</w:t>
      </w:r>
      <w:proofErr w:type="spellEnd"/>
      <w:r>
        <w:rPr>
          <w:rFonts w:ascii="Arial"/>
          <w:sz w:val="21"/>
        </w:rPr>
        <w:t xml:space="preserve"> hospital-Kuwait</w:t>
      </w:r>
    </w:p>
    <w:bookmarkEnd w:id="0"/>
    <w:p w:rsidR="00615020" w:rsidRDefault="00A9710C" w:rsidP="00615020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615020">
        <w:rPr>
          <w:color w:val="BF5A14"/>
        </w:rPr>
        <w:t>:--</w:t>
      </w:r>
    </w:p>
    <w:p w:rsidR="004E10BB" w:rsidRPr="004E10BB" w:rsidRDefault="004E10BB" w:rsidP="004E10BB">
      <w:pPr>
        <w:rPr>
          <w:rFonts w:ascii="Arial" w:eastAsia="Arial" w:hAnsi="Arial" w:cs="Arial"/>
          <w:b/>
          <w:bCs/>
          <w:sz w:val="24"/>
          <w:szCs w:val="24"/>
        </w:rPr>
      </w:pPr>
    </w:p>
    <w:p w:rsidR="00651CBF" w:rsidRPr="004E10BB" w:rsidRDefault="00A9710C" w:rsidP="004E10BB">
      <w:pPr>
        <w:jc w:val="both"/>
        <w:rPr>
          <w:rFonts w:asciiTheme="majorBidi" w:hAnsiTheme="majorBidi" w:cstheme="majorBidi"/>
          <w:sz w:val="24"/>
          <w:szCs w:val="24"/>
        </w:rPr>
      </w:pPr>
      <w:r w:rsidRPr="004E10BB">
        <w:rPr>
          <w:rFonts w:asciiTheme="majorBidi" w:hAnsiTheme="majorBidi" w:cstheme="majorBidi"/>
          <w:b/>
          <w:bCs/>
          <w:sz w:val="24"/>
          <w:szCs w:val="24"/>
        </w:rPr>
        <w:t>Statement of the Problem:</w:t>
      </w:r>
      <w:r w:rsidRPr="004E10BB">
        <w:rPr>
          <w:rFonts w:asciiTheme="majorBidi" w:hAnsiTheme="majorBidi" w:cstheme="majorBidi"/>
          <w:sz w:val="24"/>
          <w:szCs w:val="24"/>
        </w:rPr>
        <w:t xml:space="preserve"> </w:t>
      </w:r>
      <w:r w:rsidR="00C55565" w:rsidRPr="004E10BB">
        <w:rPr>
          <w:sz w:val="24"/>
          <w:szCs w:val="24"/>
          <w:lang w:val="en"/>
        </w:rPr>
        <w:t>Evidence is accumulating that non-anesthesiologist-administered propofol (NAAP) sedation has a safety and efficacy profile comparable or superior to that provided by benzodiazepines with or without opioids. The guideline</w:t>
      </w:r>
      <w:r w:rsidR="004E10BB" w:rsidRPr="004E10BB">
        <w:rPr>
          <w:sz w:val="24"/>
          <w:szCs w:val="24"/>
          <w:lang w:val="en"/>
        </w:rPr>
        <w:t xml:space="preserve">s </w:t>
      </w:r>
      <w:r w:rsidR="00C55565" w:rsidRPr="004E10BB">
        <w:rPr>
          <w:sz w:val="24"/>
          <w:szCs w:val="24"/>
          <w:lang w:val="en"/>
        </w:rPr>
        <w:t>currently availa</w:t>
      </w:r>
      <w:r w:rsidR="004E10BB" w:rsidRPr="004E10BB">
        <w:rPr>
          <w:sz w:val="24"/>
          <w:szCs w:val="24"/>
          <w:lang w:val="en"/>
        </w:rPr>
        <w:t xml:space="preserve">ble emphasize the importance of </w:t>
      </w:r>
      <w:r w:rsidR="00C55565" w:rsidRPr="004E10BB">
        <w:rPr>
          <w:sz w:val="24"/>
          <w:szCs w:val="24"/>
          <w:lang w:val="en"/>
        </w:rPr>
        <w:t>appropriate patient selecti</w:t>
      </w:r>
      <w:r w:rsidR="004E10BB" w:rsidRPr="004E10BB">
        <w:rPr>
          <w:sz w:val="24"/>
          <w:szCs w:val="24"/>
          <w:lang w:val="en"/>
        </w:rPr>
        <w:t xml:space="preserve">on, staff training, monitoring, </w:t>
      </w:r>
      <w:r w:rsidR="00C55565" w:rsidRPr="004E10BB">
        <w:rPr>
          <w:sz w:val="24"/>
          <w:szCs w:val="24"/>
          <w:lang w:val="en"/>
        </w:rPr>
        <w:t xml:space="preserve">and low-dose sedation protocols for use safety. </w:t>
      </w:r>
      <w:r w:rsidRPr="004E10BB">
        <w:rPr>
          <w:rFonts w:asciiTheme="majorBidi" w:hAnsiTheme="majorBidi" w:cstheme="majorBidi"/>
          <w:b/>
          <w:bCs/>
          <w:sz w:val="24"/>
          <w:szCs w:val="24"/>
        </w:rPr>
        <w:t>Methodolog</w:t>
      </w:r>
      <w:r w:rsidR="008756E6" w:rsidRPr="004E10BB">
        <w:rPr>
          <w:rFonts w:asciiTheme="majorBidi" w:hAnsiTheme="majorBidi" w:cstheme="majorBidi"/>
          <w:b/>
          <w:bCs/>
          <w:sz w:val="24"/>
          <w:szCs w:val="24"/>
        </w:rPr>
        <w:t>y &amp; Theoretical Orientation:</w:t>
      </w:r>
      <w:r w:rsidR="008756E6" w:rsidRPr="004E10BB">
        <w:rPr>
          <w:rFonts w:asciiTheme="majorBidi" w:hAnsiTheme="majorBidi" w:cstheme="majorBidi"/>
          <w:sz w:val="24"/>
          <w:szCs w:val="24"/>
        </w:rPr>
        <w:t xml:space="preserve"> </w:t>
      </w:r>
      <w:r w:rsidR="009E76B4" w:rsidRPr="004E10BB">
        <w:rPr>
          <w:rFonts w:asciiTheme="majorBidi" w:hAnsiTheme="majorBidi" w:cstheme="majorBidi"/>
          <w:sz w:val="24"/>
          <w:szCs w:val="24"/>
        </w:rPr>
        <w:t xml:space="preserve">give </w:t>
      </w:r>
      <w:r w:rsidR="00C55565" w:rsidRPr="004E10BB">
        <w:rPr>
          <w:rFonts w:asciiTheme="majorBidi" w:hAnsiTheme="majorBidi" w:cstheme="majorBidi"/>
          <w:sz w:val="24"/>
          <w:szCs w:val="24"/>
        </w:rPr>
        <w:t xml:space="preserve">propofol with </w:t>
      </w:r>
      <w:r w:rsidR="00C55565" w:rsidRPr="004E10BB">
        <w:rPr>
          <w:sz w:val="24"/>
          <w:szCs w:val="24"/>
        </w:rPr>
        <w:t>Initial Bolus: 1.5</w:t>
      </w:r>
      <w:r w:rsidR="00C55565" w:rsidRPr="004E10BB">
        <w:rPr>
          <w:sz w:val="24"/>
          <w:szCs w:val="24"/>
        </w:rPr>
        <w:noBreakHyphen/>
        <w:t>2.5 mg/kg, patient will be apneic within 30</w:t>
      </w:r>
      <w:r w:rsidR="00C55565" w:rsidRPr="004E10BB">
        <w:rPr>
          <w:sz w:val="24"/>
          <w:szCs w:val="24"/>
        </w:rPr>
        <w:noBreakHyphen/>
        <w:t xml:space="preserve">90 seconds the infusion at rate of 80-120 µg/kg/min. </w:t>
      </w:r>
      <w:r w:rsidRPr="004E10BB">
        <w:rPr>
          <w:rFonts w:asciiTheme="majorBidi" w:hAnsiTheme="majorBidi" w:cstheme="majorBidi"/>
          <w:b/>
          <w:bCs/>
          <w:sz w:val="24"/>
          <w:szCs w:val="24"/>
        </w:rPr>
        <w:t>Conclusion &amp; Significance</w:t>
      </w:r>
      <w:r w:rsidRPr="004E10BB">
        <w:rPr>
          <w:rFonts w:asciiTheme="majorBidi" w:hAnsiTheme="majorBidi" w:cstheme="majorBidi"/>
          <w:sz w:val="24"/>
          <w:szCs w:val="24"/>
        </w:rPr>
        <w:t xml:space="preserve">: </w:t>
      </w:r>
      <w:r w:rsidR="004E10BB" w:rsidRPr="004E10BB">
        <w:rPr>
          <w:rFonts w:asciiTheme="majorBidi" w:hAnsiTheme="majorBidi" w:cstheme="majorBidi"/>
          <w:sz w:val="24"/>
          <w:szCs w:val="24"/>
        </w:rPr>
        <w:t xml:space="preserve">It is unlikely that the use of propofol by non-anesthesia </w:t>
      </w:r>
      <w:r w:rsidR="00F81FC8" w:rsidRPr="004E10BB">
        <w:rPr>
          <w:rFonts w:asciiTheme="majorBidi" w:hAnsiTheme="majorBidi" w:cstheme="majorBidi"/>
          <w:sz w:val="24"/>
          <w:szCs w:val="24"/>
        </w:rPr>
        <w:t>professionals will cease.</w:t>
      </w:r>
      <w:r w:rsidR="004E10BB" w:rsidRPr="004E10BB">
        <w:rPr>
          <w:rFonts w:asciiTheme="majorBidi" w:hAnsiTheme="majorBidi" w:cstheme="majorBidi"/>
          <w:sz w:val="24"/>
          <w:szCs w:val="24"/>
        </w:rPr>
        <w:t xml:space="preserve"> </w:t>
      </w:r>
      <w:r w:rsidR="00F81FC8" w:rsidRPr="004E10BB">
        <w:rPr>
          <w:rFonts w:asciiTheme="majorBidi" w:hAnsiTheme="majorBidi" w:cstheme="majorBidi"/>
          <w:sz w:val="24"/>
          <w:szCs w:val="24"/>
        </w:rPr>
        <w:t xml:space="preserve">In many ways, propofol may be as safe or safer than </w:t>
      </w:r>
      <w:proofErr w:type="gramStart"/>
      <w:r w:rsidR="00F81FC8" w:rsidRPr="004E10BB">
        <w:rPr>
          <w:rFonts w:asciiTheme="majorBidi" w:hAnsiTheme="majorBidi" w:cstheme="majorBidi"/>
          <w:sz w:val="24"/>
          <w:szCs w:val="24"/>
        </w:rPr>
        <w:t>more traditional medications</w:t>
      </w:r>
      <w:proofErr w:type="gramEnd"/>
      <w:r w:rsidR="00F81FC8" w:rsidRPr="004E10BB">
        <w:rPr>
          <w:rFonts w:asciiTheme="majorBidi" w:hAnsiTheme="majorBidi" w:cstheme="majorBidi"/>
          <w:sz w:val="24"/>
          <w:szCs w:val="24"/>
        </w:rPr>
        <w:t>.</w:t>
      </w:r>
      <w:r w:rsidR="004E10BB" w:rsidRPr="004E10BB">
        <w:rPr>
          <w:rFonts w:asciiTheme="minorHAnsi" w:eastAsiaTheme="minorEastAsia" w:hAnsi="Euphemia" w:cstheme="minorBidi"/>
          <w:color w:val="002060"/>
          <w:kern w:val="24"/>
          <w:sz w:val="24"/>
          <w:szCs w:val="24"/>
        </w:rPr>
        <w:t xml:space="preserve"> </w:t>
      </w:r>
      <w:r w:rsidR="00F81FC8" w:rsidRPr="004E10BB">
        <w:rPr>
          <w:rFonts w:asciiTheme="majorBidi" w:hAnsiTheme="majorBidi" w:cstheme="majorBidi"/>
          <w:sz w:val="24"/>
          <w:szCs w:val="24"/>
        </w:rPr>
        <w:t>Monitoring must be standardized and adequate.</w:t>
      </w:r>
      <w:r w:rsidR="004E10BB" w:rsidRPr="004E10BB">
        <w:rPr>
          <w:rFonts w:asciiTheme="majorBidi" w:hAnsiTheme="majorBidi" w:cstheme="majorBidi"/>
          <w:sz w:val="24"/>
          <w:szCs w:val="24"/>
        </w:rPr>
        <w:t xml:space="preserve"> </w:t>
      </w:r>
      <w:r w:rsidR="00F81FC8" w:rsidRPr="004E10BB">
        <w:rPr>
          <w:rFonts w:asciiTheme="majorBidi" w:hAnsiTheme="majorBidi" w:cstheme="majorBidi"/>
          <w:sz w:val="24"/>
          <w:szCs w:val="24"/>
        </w:rPr>
        <w:t>Given t</w:t>
      </w:r>
      <w:r w:rsidR="004E10BB">
        <w:rPr>
          <w:rFonts w:asciiTheme="majorBidi" w:hAnsiTheme="majorBidi" w:cstheme="majorBidi"/>
          <w:sz w:val="24"/>
          <w:szCs w:val="24"/>
        </w:rPr>
        <w:t xml:space="preserve">heir training, </w:t>
      </w:r>
      <w:r w:rsidR="00F81FC8" w:rsidRPr="004E10BB">
        <w:rPr>
          <w:rFonts w:asciiTheme="majorBidi" w:hAnsiTheme="majorBidi" w:cstheme="majorBidi"/>
          <w:sz w:val="24"/>
          <w:szCs w:val="24"/>
        </w:rPr>
        <w:t>experi</w:t>
      </w:r>
      <w:r w:rsidR="004E10BB">
        <w:rPr>
          <w:rFonts w:asciiTheme="majorBidi" w:hAnsiTheme="majorBidi" w:cstheme="majorBidi"/>
          <w:sz w:val="24"/>
          <w:szCs w:val="24"/>
        </w:rPr>
        <w:t xml:space="preserve">ence, and everyday environment, </w:t>
      </w:r>
      <w:r w:rsidR="00F81FC8" w:rsidRPr="004E10BB">
        <w:rPr>
          <w:rFonts w:asciiTheme="majorBidi" w:hAnsiTheme="majorBidi" w:cstheme="majorBidi"/>
          <w:sz w:val="24"/>
          <w:szCs w:val="24"/>
        </w:rPr>
        <w:t>anesthesiologist</w:t>
      </w:r>
      <w:r w:rsidR="004E10BB">
        <w:rPr>
          <w:rFonts w:asciiTheme="majorBidi" w:hAnsiTheme="majorBidi" w:cstheme="majorBidi"/>
          <w:sz w:val="24"/>
          <w:szCs w:val="24"/>
        </w:rPr>
        <w:t xml:space="preserve">s should be at the forefront to </w:t>
      </w:r>
      <w:r w:rsidR="00F81FC8" w:rsidRPr="004E10BB">
        <w:rPr>
          <w:rFonts w:asciiTheme="majorBidi" w:hAnsiTheme="majorBidi" w:cstheme="majorBidi"/>
          <w:sz w:val="24"/>
          <w:szCs w:val="24"/>
        </w:rPr>
        <w:t>determine protocols</w:t>
      </w:r>
      <w:r w:rsidR="004E10BB">
        <w:rPr>
          <w:rFonts w:asciiTheme="majorBidi" w:hAnsiTheme="majorBidi" w:cstheme="majorBidi"/>
          <w:sz w:val="24"/>
          <w:szCs w:val="24"/>
        </w:rPr>
        <w:t xml:space="preserve">, initiate training, perform or </w:t>
      </w:r>
      <w:r w:rsidR="00F81FC8" w:rsidRPr="004E10BB">
        <w:rPr>
          <w:rFonts w:asciiTheme="majorBidi" w:hAnsiTheme="majorBidi" w:cstheme="majorBidi"/>
          <w:sz w:val="24"/>
          <w:szCs w:val="24"/>
        </w:rPr>
        <w:t>oversee compete</w:t>
      </w:r>
      <w:r w:rsidR="004E10BB">
        <w:rPr>
          <w:rFonts w:asciiTheme="majorBidi" w:hAnsiTheme="majorBidi" w:cstheme="majorBidi"/>
          <w:sz w:val="24"/>
          <w:szCs w:val="24"/>
        </w:rPr>
        <w:t xml:space="preserve">ncy reviews, and set up quality </w:t>
      </w:r>
      <w:r w:rsidR="00F81FC8" w:rsidRPr="004E10BB">
        <w:rPr>
          <w:rFonts w:asciiTheme="majorBidi" w:hAnsiTheme="majorBidi" w:cstheme="majorBidi"/>
          <w:sz w:val="24"/>
          <w:szCs w:val="24"/>
        </w:rPr>
        <w:t>assurance programs.</w:t>
      </w:r>
    </w:p>
    <w:p w:rsidR="00651CBF" w:rsidRPr="004E10BB" w:rsidRDefault="00651CBF" w:rsidP="004E10BB">
      <w:pPr>
        <w:rPr>
          <w:rFonts w:asciiTheme="majorBidi" w:hAnsiTheme="majorBidi" w:cstheme="majorBidi"/>
          <w:sz w:val="28"/>
          <w:szCs w:val="28"/>
        </w:rPr>
      </w:pPr>
    </w:p>
    <w:p w:rsidR="00615020" w:rsidRPr="00C55565" w:rsidRDefault="00615020" w:rsidP="004E10BB">
      <w:pPr>
        <w:jc w:val="both"/>
        <w:rPr>
          <w:sz w:val="24"/>
        </w:rPr>
      </w:pPr>
    </w:p>
    <w:p w:rsidR="00AE3E37" w:rsidRPr="00615020" w:rsidRDefault="005A0E4C" w:rsidP="00615020">
      <w:pPr>
        <w:rPr>
          <w:b/>
          <w:bCs/>
          <w:i/>
          <w:iCs/>
          <w:sz w:val="28"/>
          <w:szCs w:val="28"/>
        </w:rPr>
      </w:pPr>
      <w:r>
        <w:rPr>
          <w:rStyle w:val="Hyperlink"/>
          <w:rFonts w:ascii="Arial"/>
          <w:color w:val="auto"/>
          <w:sz w:val="14"/>
          <w:u w:val="none"/>
        </w:rPr>
        <w:t xml:space="preserve">                                                                                       </w:t>
      </w:r>
      <w:r w:rsidR="00900484">
        <w:rPr>
          <w:rStyle w:val="Hyperlink"/>
          <w:rFonts w:ascii="Arial"/>
          <w:color w:val="auto"/>
          <w:sz w:val="14"/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04.25pt;height:73.5pt">
            <v:imagedata r:id="rId9" o:title=""/>
            <o:lock v:ext="edit" ungrouping="t" rotation="t" cropping="t" verticies="t" text="t" grouping="t"/>
            <o:signatureline v:ext="edit" id="{0DCB7BA6-354F-4832-8570-86FFD725FAF8}" provid="{00000000-0000-0000-0000-000000000000}" o:suggestedsigner="Ali saad" issignatureline="t"/>
          </v:shape>
        </w:pict>
      </w:r>
    </w:p>
    <w:p w:rsidR="00AB24BD" w:rsidRDefault="00A9710C" w:rsidP="00615020">
      <w:pPr>
        <w:pStyle w:val="Heading3"/>
        <w:spacing w:before="74"/>
        <w:ind w:left="0"/>
      </w:pPr>
      <w:r>
        <w:rPr>
          <w:b w:val="0"/>
        </w:rPr>
        <w:br w:type="column"/>
      </w:r>
      <w:r w:rsidR="00615020">
        <w:rPr>
          <w:b w:val="0"/>
        </w:rPr>
        <w:t xml:space="preserve">                  </w:t>
      </w:r>
    </w:p>
    <w:p w:rsidR="00AE3E37" w:rsidRDefault="00AE3E37" w:rsidP="00615020">
      <w:pPr>
        <w:pStyle w:val="Heading3"/>
        <w:spacing w:before="74"/>
        <w:ind w:left="0"/>
      </w:pPr>
    </w:p>
    <w:p w:rsidR="00AE3E37" w:rsidRDefault="004E10BB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>
            <wp:extent cx="3514725" cy="2545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612" cy="254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0BB" w:rsidRDefault="004E10BB" w:rsidP="004E10BB">
      <w:pPr>
        <w:spacing w:line="204" w:lineRule="exact"/>
        <w:rPr>
          <w:rFonts w:ascii="Arial"/>
          <w:b/>
          <w:color w:val="BF5A14"/>
          <w:sz w:val="20"/>
        </w:rPr>
      </w:pPr>
      <w:proofErr w:type="spellStart"/>
      <w:r>
        <w:rPr>
          <w:rFonts w:ascii="Arial"/>
          <w:b/>
          <w:color w:val="BF5A14"/>
          <w:sz w:val="20"/>
        </w:rPr>
        <w:t>Refernces</w:t>
      </w:r>
      <w:proofErr w:type="spellEnd"/>
      <w:r>
        <w:rPr>
          <w:rFonts w:ascii="Arial"/>
          <w:b/>
          <w:color w:val="BF5A14"/>
          <w:sz w:val="20"/>
        </w:rPr>
        <w:t>:</w:t>
      </w:r>
    </w:p>
    <w:p w:rsidR="00651CBF" w:rsidRPr="004E10BB" w:rsidRDefault="00900484" w:rsidP="004E10BB">
      <w:pPr>
        <w:numPr>
          <w:ilvl w:val="0"/>
          <w:numId w:val="6"/>
        </w:numPr>
        <w:spacing w:line="204" w:lineRule="exact"/>
        <w:rPr>
          <w:rFonts w:ascii="Arial"/>
          <w:b/>
          <w:color w:val="BF5A14"/>
          <w:sz w:val="20"/>
        </w:rPr>
      </w:pPr>
      <w:hyperlink r:id="rId11" w:history="1">
        <w:r w:rsidR="00F81FC8" w:rsidRPr="004E10BB">
          <w:rPr>
            <w:rStyle w:val="Hyperlink"/>
            <w:rFonts w:ascii="Arial"/>
            <w:b/>
            <w:sz w:val="20"/>
          </w:rPr>
          <w:t>F1000 Med Rep</w:t>
        </w:r>
      </w:hyperlink>
      <w:r w:rsidR="00F81FC8" w:rsidRPr="004E10BB">
        <w:rPr>
          <w:rFonts w:ascii="Arial"/>
          <w:b/>
          <w:color w:val="BF5A14"/>
          <w:sz w:val="20"/>
        </w:rPr>
        <w:t xml:space="preserve">. </w:t>
      </w:r>
      <w:proofErr w:type="gramStart"/>
      <w:r w:rsidR="00F81FC8" w:rsidRPr="004E10BB">
        <w:rPr>
          <w:rFonts w:ascii="Arial"/>
          <w:b/>
          <w:color w:val="BF5A14"/>
          <w:sz w:val="20"/>
        </w:rPr>
        <w:t>2010</w:t>
      </w:r>
      <w:proofErr w:type="gramEnd"/>
      <w:r w:rsidR="00F81FC8" w:rsidRPr="004E10BB">
        <w:rPr>
          <w:rFonts w:ascii="Arial"/>
          <w:b/>
          <w:color w:val="BF5A14"/>
          <w:sz w:val="20"/>
        </w:rPr>
        <w:t xml:space="preserve">; 2: 79. </w:t>
      </w:r>
      <w:r w:rsidR="00F81FC8" w:rsidRPr="004E10BB">
        <w:rPr>
          <w:rFonts w:ascii="Arial"/>
          <w:b/>
          <w:bCs/>
          <w:color w:val="BF5A14"/>
          <w:sz w:val="20"/>
        </w:rPr>
        <w:t xml:space="preserve">Recent advances in using propofol by non-anesthesiologists; </w:t>
      </w:r>
      <w:hyperlink r:id="rId12" w:history="1">
        <w:r w:rsidR="00F81FC8" w:rsidRPr="004E10BB">
          <w:rPr>
            <w:rStyle w:val="Hyperlink"/>
            <w:rFonts w:ascii="Arial"/>
            <w:b/>
            <w:sz w:val="20"/>
          </w:rPr>
          <w:t xml:space="preserve">Gang </w:t>
        </w:r>
      </w:hyperlink>
      <w:hyperlink r:id="rId13" w:history="1">
        <w:r w:rsidR="00F81FC8" w:rsidRPr="004E10BB">
          <w:rPr>
            <w:rStyle w:val="Hyperlink"/>
            <w:rFonts w:ascii="Arial"/>
            <w:b/>
            <w:sz w:val="20"/>
          </w:rPr>
          <w:t>Tan</w:t>
        </w:r>
      </w:hyperlink>
      <w:r w:rsidR="00F81FC8" w:rsidRPr="004E10BB">
        <w:rPr>
          <w:rFonts w:ascii="Arial"/>
          <w:b/>
          <w:color w:val="BF5A14"/>
          <w:sz w:val="20"/>
          <w:vertAlign w:val="superscript"/>
        </w:rPr>
        <w:t>1,2</w:t>
      </w:r>
      <w:r w:rsidR="00F81FC8" w:rsidRPr="004E10BB">
        <w:rPr>
          <w:rFonts w:ascii="Arial"/>
          <w:b/>
          <w:color w:val="BF5A14"/>
          <w:sz w:val="20"/>
        </w:rPr>
        <w:t xml:space="preserve"> and </w:t>
      </w:r>
      <w:hyperlink r:id="rId14" w:history="1">
        <w:r w:rsidR="00F81FC8" w:rsidRPr="004E10BB">
          <w:rPr>
            <w:rStyle w:val="Hyperlink"/>
            <w:rFonts w:ascii="Arial"/>
            <w:b/>
            <w:sz w:val="20"/>
          </w:rPr>
          <w:t xml:space="preserve">Michael G </w:t>
        </w:r>
      </w:hyperlink>
      <w:hyperlink r:id="rId15" w:history="1">
        <w:r w:rsidR="00F81FC8" w:rsidRPr="004E10BB">
          <w:rPr>
            <w:rStyle w:val="Hyperlink"/>
            <w:rFonts w:ascii="Arial"/>
            <w:b/>
            <w:sz w:val="20"/>
          </w:rPr>
          <w:t>Irwin</w:t>
        </w:r>
      </w:hyperlink>
    </w:p>
    <w:p w:rsidR="00651CBF" w:rsidRPr="004E10BB" w:rsidRDefault="00F81FC8" w:rsidP="004E10BB">
      <w:pPr>
        <w:numPr>
          <w:ilvl w:val="0"/>
          <w:numId w:val="6"/>
        </w:numPr>
        <w:spacing w:line="204" w:lineRule="exact"/>
        <w:rPr>
          <w:rFonts w:ascii="Arial"/>
          <w:b/>
          <w:color w:val="BF5A14"/>
          <w:sz w:val="20"/>
        </w:rPr>
      </w:pPr>
      <w:r w:rsidRPr="004E10BB">
        <w:rPr>
          <w:rFonts w:ascii="Arial"/>
          <w:b/>
          <w:color w:val="BF5A14"/>
          <w:sz w:val="20"/>
        </w:rPr>
        <w:t xml:space="preserve">McCallum R. Hoyt, MD, MBA </w:t>
      </w:r>
      <w:r w:rsidRPr="004E10BB">
        <w:rPr>
          <w:rFonts w:ascii="Arial"/>
          <w:b/>
          <w:color w:val="BF5A14"/>
          <w:sz w:val="20"/>
        </w:rPr>
        <w:t>•</w:t>
      </w:r>
      <w:r w:rsidRPr="004E10BB">
        <w:rPr>
          <w:rFonts w:ascii="Arial"/>
          <w:b/>
          <w:color w:val="BF5A14"/>
          <w:sz w:val="20"/>
        </w:rPr>
        <w:t xml:space="preserve"> Beverly K. Philip, MD-Evidence based Ch. 47</w:t>
      </w:r>
    </w:p>
    <w:p w:rsidR="005973B9" w:rsidRDefault="005973B9" w:rsidP="004E10BB">
      <w:pPr>
        <w:spacing w:line="204" w:lineRule="exact"/>
        <w:rPr>
          <w:rFonts w:ascii="Arial"/>
          <w:b/>
          <w:sz w:val="20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52B93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615020">
        <w:rPr>
          <w:rFonts w:ascii="Arial"/>
          <w:color w:val="BF5A14"/>
        </w:rPr>
        <w:t>:</w:t>
      </w:r>
    </w:p>
    <w:p w:rsidR="00615020" w:rsidRPr="00767E90" w:rsidRDefault="00615020" w:rsidP="00404E5B">
      <w:pPr>
        <w:spacing w:before="92"/>
        <w:ind w:right="4234"/>
        <w:rPr>
          <w:rFonts w:ascii="Arial"/>
        </w:rPr>
      </w:pPr>
      <w:r w:rsidRPr="00767E90">
        <w:rPr>
          <w:rFonts w:ascii="Arial"/>
        </w:rPr>
        <w:t xml:space="preserve">Dr. </w:t>
      </w:r>
      <w:proofErr w:type="spellStart"/>
      <w:proofErr w:type="gramStart"/>
      <w:r w:rsidRPr="00767E90">
        <w:rPr>
          <w:rFonts w:ascii="Arial"/>
        </w:rPr>
        <w:t>ali</w:t>
      </w:r>
      <w:proofErr w:type="spellEnd"/>
      <w:proofErr w:type="gramEnd"/>
      <w:r w:rsidRPr="00767E90">
        <w:rPr>
          <w:rFonts w:ascii="Arial"/>
        </w:rPr>
        <w:t xml:space="preserve"> </w:t>
      </w:r>
      <w:proofErr w:type="spellStart"/>
      <w:r w:rsidRPr="00767E90">
        <w:rPr>
          <w:rFonts w:ascii="Arial"/>
        </w:rPr>
        <w:t>saad</w:t>
      </w:r>
      <w:proofErr w:type="spellEnd"/>
      <w:r w:rsidRPr="00767E90">
        <w:rPr>
          <w:rFonts w:ascii="Arial"/>
        </w:rPr>
        <w:t xml:space="preserve"> is specialist </w:t>
      </w:r>
      <w:r w:rsidRPr="00767E90">
        <w:t xml:space="preserve">of </w:t>
      </w:r>
      <w:r w:rsidRPr="00767E90">
        <w:rPr>
          <w:spacing w:val="-1"/>
        </w:rPr>
        <w:t>A</w:t>
      </w:r>
      <w:r w:rsidRPr="00767E90">
        <w:t>nes</w:t>
      </w:r>
      <w:r w:rsidRPr="00767E90">
        <w:rPr>
          <w:spacing w:val="-1"/>
        </w:rPr>
        <w:t>t</w:t>
      </w:r>
      <w:r w:rsidRPr="00767E90">
        <w:t>hes</w:t>
      </w:r>
      <w:r w:rsidRPr="00767E90">
        <w:rPr>
          <w:spacing w:val="-1"/>
        </w:rPr>
        <w:t>i</w:t>
      </w:r>
      <w:r w:rsidRPr="00767E90">
        <w:t>a</w:t>
      </w:r>
      <w:r w:rsidRPr="00767E90">
        <w:rPr>
          <w:spacing w:val="1"/>
        </w:rPr>
        <w:t xml:space="preserve"> and</w:t>
      </w:r>
      <w:r w:rsidRPr="00767E90">
        <w:rPr>
          <w:spacing w:val="-1"/>
        </w:rPr>
        <w:t xml:space="preserve"> </w:t>
      </w:r>
      <w:r w:rsidRPr="00767E90">
        <w:t>In</w:t>
      </w:r>
      <w:r w:rsidRPr="00767E90">
        <w:rPr>
          <w:spacing w:val="-1"/>
        </w:rPr>
        <w:t>t</w:t>
      </w:r>
      <w:r w:rsidRPr="00767E90">
        <w:t>ens</w:t>
      </w:r>
      <w:r w:rsidRPr="00767E90">
        <w:rPr>
          <w:spacing w:val="-1"/>
        </w:rPr>
        <w:t>i</w:t>
      </w:r>
      <w:r w:rsidRPr="00767E90">
        <w:t>ve</w:t>
      </w:r>
      <w:r w:rsidRPr="00767E90">
        <w:rPr>
          <w:spacing w:val="1"/>
        </w:rPr>
        <w:t xml:space="preserve"> </w:t>
      </w:r>
      <w:r w:rsidRPr="00767E90">
        <w:t>C</w:t>
      </w:r>
      <w:r w:rsidRPr="00767E90">
        <w:rPr>
          <w:spacing w:val="-1"/>
        </w:rPr>
        <w:t>a</w:t>
      </w:r>
      <w:r w:rsidRPr="00767E90">
        <w:t>re</w:t>
      </w:r>
      <w:r w:rsidRPr="00767E90">
        <w:rPr>
          <w:spacing w:val="1"/>
        </w:rPr>
        <w:t xml:space="preserve"> </w:t>
      </w:r>
      <w:r w:rsidRPr="00767E90">
        <w:rPr>
          <w:spacing w:val="-1"/>
        </w:rPr>
        <w:t>U</w:t>
      </w:r>
      <w:r w:rsidRPr="00767E90">
        <w:t>n</w:t>
      </w:r>
      <w:r w:rsidRPr="00767E90">
        <w:rPr>
          <w:spacing w:val="-1"/>
        </w:rPr>
        <w:t>i</w:t>
      </w:r>
      <w:r w:rsidRPr="00767E90">
        <w:t>t, working in field for 12 years’ experience with continuous medical education programs, courses with weekly presentations</w:t>
      </w:r>
      <w:r w:rsidR="00767E90">
        <w:t>.</w:t>
      </w:r>
    </w:p>
    <w:p w:rsidR="00AE3E37" w:rsidRDefault="00615020" w:rsidP="005A0E4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7" w:history="1">
        <w:r w:rsidR="005A0E4C" w:rsidRPr="00731082">
          <w:rPr>
            <w:rStyle w:val="Hyperlink"/>
            <w:rFonts w:ascii="Arial"/>
            <w:sz w:val="14"/>
          </w:rPr>
          <w:t>profanesthesia@yahoo.com</w:t>
        </w:r>
      </w:hyperlink>
      <w:r w:rsidR="005A0E4C">
        <w:rPr>
          <w:rFonts w:ascii="Arial"/>
          <w:sz w:val="14"/>
        </w:rPr>
        <w:t xml:space="preserve">  </w:t>
      </w:r>
    </w:p>
    <w:p w:rsidR="00AE3E37" w:rsidRPr="005A0E4C" w:rsidRDefault="00827B1F" w:rsidP="005A0E4C">
      <w:pPr>
        <w:spacing w:before="62"/>
        <w:ind w:left="4217" w:right="4235"/>
        <w:jc w:val="center"/>
        <w:rPr>
          <w:rFonts w:ascii="Arial"/>
          <w:sz w:val="14"/>
        </w:rPr>
        <w:sectPr w:rsidR="00AE3E37" w:rsidRPr="005A0E4C" w:rsidSect="005A0E4C">
          <w:type w:val="continuous"/>
          <w:pgSz w:w="11910" w:h="16840"/>
          <w:pgMar w:top="990" w:right="600" w:bottom="540" w:left="620" w:header="720" w:footer="720" w:gutter="0"/>
          <w:cols w:space="720"/>
        </w:sect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615020">
        <w:rPr>
          <w:rStyle w:val="Hyperlink"/>
          <w:rFonts w:ascii="Arial"/>
          <w:color w:val="auto"/>
          <w:sz w:val="14"/>
          <w:u w:val="none"/>
        </w:rPr>
        <w:t>+965-65520979</w:t>
      </w:r>
      <w:r w:rsidR="005A0E4C">
        <w:rPr>
          <w:rStyle w:val="Hyperlink"/>
          <w:rFonts w:ascii="Arial"/>
          <w:color w:val="auto"/>
          <w:sz w:val="14"/>
          <w:u w:val="none"/>
        </w:rPr>
        <w:t xml:space="preserve">                                     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A431B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5A0E4C">
      <w:type w:val="continuous"/>
      <w:pgSz w:w="11910" w:h="16840"/>
      <w:pgMar w:top="5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484" w:rsidRDefault="00900484">
      <w:r>
        <w:separator/>
      </w:r>
    </w:p>
  </w:endnote>
  <w:endnote w:type="continuationSeparator" w:id="0">
    <w:p w:rsidR="00900484" w:rsidRDefault="00900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484" w:rsidRDefault="00900484">
      <w:r>
        <w:separator/>
      </w:r>
    </w:p>
  </w:footnote>
  <w:footnote w:type="continuationSeparator" w:id="0">
    <w:p w:rsidR="00900484" w:rsidRDefault="00900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95D5E49"/>
    <w:multiLevelType w:val="hybridMultilevel"/>
    <w:tmpl w:val="C2E210AA"/>
    <w:lvl w:ilvl="0" w:tplc="87F2DE0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80F5D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AE0B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0631C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90D68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9A5B1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05D5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704BF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DE4DD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F2AAC"/>
    <w:multiLevelType w:val="hybridMultilevel"/>
    <w:tmpl w:val="860CE3BA"/>
    <w:lvl w:ilvl="0" w:tplc="E998FB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44AC3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B044B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58B12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A2C33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94067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B2845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5ACF6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56281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77635F39"/>
    <w:multiLevelType w:val="hybridMultilevel"/>
    <w:tmpl w:val="A184C710"/>
    <w:lvl w:ilvl="0" w:tplc="56FC982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1E2D3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B81A5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4CF2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9AA1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3E93C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8CDBD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28602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DECE5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7D69"/>
    <w:rsid w:val="000642C6"/>
    <w:rsid w:val="00065718"/>
    <w:rsid w:val="000E2911"/>
    <w:rsid w:val="001263DF"/>
    <w:rsid w:val="00160DB0"/>
    <w:rsid w:val="002220FB"/>
    <w:rsid w:val="00292ED9"/>
    <w:rsid w:val="00404E5B"/>
    <w:rsid w:val="00414F7B"/>
    <w:rsid w:val="004355DC"/>
    <w:rsid w:val="004749B4"/>
    <w:rsid w:val="00494130"/>
    <w:rsid w:val="004E10BB"/>
    <w:rsid w:val="004F3523"/>
    <w:rsid w:val="005973B9"/>
    <w:rsid w:val="005A0E4C"/>
    <w:rsid w:val="005B3A56"/>
    <w:rsid w:val="006060CE"/>
    <w:rsid w:val="00615020"/>
    <w:rsid w:val="0063497F"/>
    <w:rsid w:val="00651CBF"/>
    <w:rsid w:val="006910C5"/>
    <w:rsid w:val="00767E90"/>
    <w:rsid w:val="00827B1F"/>
    <w:rsid w:val="00873DF0"/>
    <w:rsid w:val="008756E6"/>
    <w:rsid w:val="00900484"/>
    <w:rsid w:val="009B2D44"/>
    <w:rsid w:val="009E76B4"/>
    <w:rsid w:val="00A06951"/>
    <w:rsid w:val="00A07E82"/>
    <w:rsid w:val="00A9710C"/>
    <w:rsid w:val="00AB24BD"/>
    <w:rsid w:val="00AE3E37"/>
    <w:rsid w:val="00B21A57"/>
    <w:rsid w:val="00C33602"/>
    <w:rsid w:val="00C55565"/>
    <w:rsid w:val="00CB02F0"/>
    <w:rsid w:val="00CC00DB"/>
    <w:rsid w:val="00CD6F55"/>
    <w:rsid w:val="00DD7437"/>
    <w:rsid w:val="00DE3104"/>
    <w:rsid w:val="00E029EB"/>
    <w:rsid w:val="00F72EEA"/>
    <w:rsid w:val="00F81FC8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BBFB5A-4CB2-4A4D-89C9-46B2F57C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AB24BD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3619">
          <w:marLeft w:val="446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0859">
          <w:marLeft w:val="547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118">
          <w:marLeft w:val="346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2630">
          <w:marLeft w:val="346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3318">
          <w:marLeft w:val="346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4118">
          <w:marLeft w:val="346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Tan%20G%5BAuthor%5D&amp;cauthor=true&amp;cauthor_uid=2117036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Tan%20G%5BAuthor%5D&amp;cauthor=true&amp;cauthor_uid=21170368" TargetMode="External"/><Relationship Id="rId17" Type="http://schemas.openxmlformats.org/officeDocument/2006/relationships/hyperlink" Target="mailto:profanesthesia@yahoo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mc/articles/PMC2998802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Irwin%20MG%5BAuthor%5D&amp;cauthor=true&amp;cauthor_uid=21170368" TargetMode="Externa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https://www.ncbi.nlm.nih.gov/pubmed/?term=Irwin%20MG%5BAuthor%5D&amp;cauthor=true&amp;cauthor_uid=21170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Saad, Ali Mohammed Ali</cp:lastModifiedBy>
  <cp:revision>8</cp:revision>
  <dcterms:created xsi:type="dcterms:W3CDTF">2017-09-14T08:52:00Z</dcterms:created>
  <dcterms:modified xsi:type="dcterms:W3CDTF">2017-11-14T18:25:00Z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