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8F3" w:rsidRDefault="0039602A">
      <w:r>
        <w:t xml:space="preserve">Title: </w:t>
      </w:r>
      <w:r w:rsidR="00536603">
        <w:t xml:space="preserve">Comparison of breast pathology </w:t>
      </w:r>
      <w:r w:rsidR="00FB58F3">
        <w:t xml:space="preserve">in </w:t>
      </w:r>
      <w:r w:rsidR="00536603">
        <w:t xml:space="preserve">bilateral breast reduction and unilateral </w:t>
      </w:r>
      <w:r w:rsidR="005D6BC7">
        <w:t xml:space="preserve">breast </w:t>
      </w:r>
      <w:r w:rsidR="00536603">
        <w:t>symmetrisation: a case series of 37</w:t>
      </w:r>
      <w:r w:rsidR="00133017">
        <w:t>1</w:t>
      </w:r>
      <w:r w:rsidR="00536603">
        <w:t xml:space="preserve"> cases </w:t>
      </w:r>
    </w:p>
    <w:p w:rsidR="000C334A" w:rsidRPr="0039602A" w:rsidRDefault="00536603">
      <w:r>
        <w:t>EK Tan</w:t>
      </w:r>
      <w:r w:rsidR="0039602A">
        <w:rPr>
          <w:vertAlign w:val="superscript"/>
        </w:rPr>
        <w:t>1</w:t>
      </w:r>
      <w:r>
        <w:t>, J Chen</w:t>
      </w:r>
      <w:r w:rsidR="0039602A">
        <w:t>1</w:t>
      </w:r>
      <w:r>
        <w:t xml:space="preserve">, </w:t>
      </w:r>
      <w:r w:rsidR="003B0AD3">
        <w:t>WL Wong</w:t>
      </w:r>
      <w:r w:rsidR="0039602A">
        <w:t>1</w:t>
      </w:r>
      <w:r w:rsidR="003B0AD3">
        <w:t xml:space="preserve">, </w:t>
      </w:r>
      <w:r>
        <w:t>T Creagh</w:t>
      </w:r>
      <w:r w:rsidR="0039602A">
        <w:rPr>
          <w:vertAlign w:val="superscript"/>
        </w:rPr>
        <w:t>1</w:t>
      </w:r>
    </w:p>
    <w:p w:rsidR="0039602A" w:rsidRPr="0039602A" w:rsidRDefault="0039602A" w:rsidP="0039602A">
      <w:pPr>
        <w:pStyle w:val="ListParagraph"/>
        <w:numPr>
          <w:ilvl w:val="0"/>
          <w:numId w:val="2"/>
        </w:numPr>
      </w:pPr>
      <w:r w:rsidRPr="0039602A">
        <w:t>Depa</w:t>
      </w:r>
      <w:r>
        <w:t>rtmen</w:t>
      </w:r>
      <w:r w:rsidRPr="0039602A">
        <w:t>t of Plastic Surgery, Christchurch Hospital, New Zealand</w:t>
      </w:r>
    </w:p>
    <w:p w:rsidR="0039602A" w:rsidRDefault="0039602A">
      <w:r>
        <w:t>Keywords: Breast reduction, breast cancer, pathology, contralateral mastectomy</w:t>
      </w:r>
    </w:p>
    <w:p w:rsidR="0039602A" w:rsidRDefault="0039602A" w:rsidP="0039602A">
      <w:pPr>
        <w:pStyle w:val="ListParagraph"/>
        <w:numPr>
          <w:ilvl w:val="0"/>
          <w:numId w:val="3"/>
        </w:numPr>
      </w:pPr>
      <w:r>
        <w:t>Abstract body</w:t>
      </w:r>
    </w:p>
    <w:p w:rsidR="00A53147" w:rsidRDefault="00A53147" w:rsidP="0039602A">
      <w:r>
        <w:t>Aim</w:t>
      </w:r>
    </w:p>
    <w:p w:rsidR="00536603" w:rsidRDefault="00A53147" w:rsidP="00536603">
      <w:r>
        <w:t xml:space="preserve">To </w:t>
      </w:r>
      <w:r w:rsidR="00536603">
        <w:t xml:space="preserve">investigate if breast pathology from non-oncological bilateral breast reduction </w:t>
      </w:r>
      <w:r w:rsidR="00133017">
        <w:t xml:space="preserve">(BBR) </w:t>
      </w:r>
      <w:r w:rsidR="00536603">
        <w:t xml:space="preserve">differs from unilateral breast symmetrisation </w:t>
      </w:r>
      <w:r w:rsidR="00133017">
        <w:t xml:space="preserve">(UBS) </w:t>
      </w:r>
      <w:r w:rsidR="00536603">
        <w:t>post contralateral oncological surgery</w:t>
      </w:r>
    </w:p>
    <w:p w:rsidR="000C334A" w:rsidRDefault="00536603">
      <w:r>
        <w:t>Int</w:t>
      </w:r>
      <w:r w:rsidR="000C334A">
        <w:t>roduction</w:t>
      </w:r>
    </w:p>
    <w:p w:rsidR="007C5C8F" w:rsidRDefault="006C3021">
      <w:r w:rsidRPr="006C3021">
        <w:t>Recent research from Australia and the United Kingdom shows a 1 in 9 lifetime risk of a woman being diagnosed with breast cancer</w:t>
      </w:r>
      <w:r>
        <w:t>. There is an observed increased demand for non BRCA and genetic breast cancer patients requesting for prophylactic contralateral mastectomy. There are numerous publication of ‘abnormal’ incidental pathology found in routine bilateral reduction.</w:t>
      </w:r>
    </w:p>
    <w:p w:rsidR="006C3021" w:rsidRDefault="006C3021">
      <w:r>
        <w:t>The American College of Surgeons</w:t>
      </w:r>
      <w:r w:rsidR="00FB58F3">
        <w:t xml:space="preserve"> (ACS)</w:t>
      </w:r>
      <w:r>
        <w:t xml:space="preserve"> in 2016 discouraged patients in this group from contralateral surgery in view that the extent of disfigurement outweighs the benefits (Level V evidence). </w:t>
      </w:r>
    </w:p>
    <w:p w:rsidR="006C3021" w:rsidRDefault="006C3021">
      <w:r>
        <w:t>We would like to share our experience in this.</w:t>
      </w:r>
    </w:p>
    <w:p w:rsidR="006C3021" w:rsidRDefault="006C3021">
      <w:r>
        <w:t>Method</w:t>
      </w:r>
    </w:p>
    <w:p w:rsidR="00133017" w:rsidRDefault="006C3021">
      <w:r>
        <w:t xml:space="preserve">All bilateral and unilateral breast </w:t>
      </w:r>
      <w:r w:rsidR="00133017">
        <w:t>symmetrisation surgery</w:t>
      </w:r>
      <w:r w:rsidR="003B0AD3">
        <w:t xml:space="preserve"> (UBS)</w:t>
      </w:r>
      <w:r w:rsidR="00133017">
        <w:t xml:space="preserve"> recorded in Christchurch Hospital from 2003-2017 were included in this study.</w:t>
      </w:r>
    </w:p>
    <w:p w:rsidR="00133017" w:rsidRDefault="00133017">
      <w:r>
        <w:t>Demographic and surgical details of individual patients were recorded where available.</w:t>
      </w:r>
    </w:p>
    <w:p w:rsidR="00133017" w:rsidRDefault="00133017">
      <w:r>
        <w:t>The pathology of individual cases were recorded and statistical tests were used to test the significance of difference in both groups.</w:t>
      </w:r>
    </w:p>
    <w:p w:rsidR="00133017" w:rsidRDefault="00133017">
      <w:r>
        <w:t>Results</w:t>
      </w:r>
    </w:p>
    <w:p w:rsidR="0039602A" w:rsidRDefault="0039602A" w:rsidP="0039602A">
      <w:r>
        <w:t>Please refer to table 1</w:t>
      </w:r>
    </w:p>
    <w:p w:rsidR="0039602A" w:rsidRDefault="0039602A" w:rsidP="0039602A">
      <w:r>
        <w:t>Conclusion</w:t>
      </w:r>
    </w:p>
    <w:p w:rsidR="0039602A" w:rsidRDefault="0039602A" w:rsidP="0039602A">
      <w:r>
        <w:t>Our case series supports ACS’ recommendations and should serve as reassurance to non BRCA/genetic breast cancer patients that in our experience contralateral mastectomy is not indicated; thus symmetrisation is the only indication for contralateral surgery.</w:t>
      </w:r>
    </w:p>
    <w:p w:rsidR="0039602A" w:rsidRDefault="0039602A" w:rsidP="0039602A">
      <w:pPr>
        <w:pStyle w:val="ListParagraph"/>
        <w:ind w:left="1080"/>
      </w:pPr>
    </w:p>
    <w:p w:rsidR="0039602A" w:rsidRDefault="0039602A" w:rsidP="0039602A">
      <w:pPr>
        <w:pStyle w:val="ListParagraph"/>
        <w:ind w:left="1080"/>
      </w:pPr>
    </w:p>
    <w:p w:rsidR="0039602A" w:rsidRDefault="0039602A" w:rsidP="0039602A">
      <w:pPr>
        <w:pStyle w:val="ListParagraph"/>
        <w:ind w:left="1080"/>
      </w:pPr>
    </w:p>
    <w:p w:rsidR="0039602A" w:rsidRDefault="0039602A" w:rsidP="0039602A">
      <w:pPr>
        <w:pStyle w:val="ListParagraph"/>
        <w:ind w:left="1080"/>
      </w:pPr>
    </w:p>
    <w:p w:rsidR="0039602A" w:rsidRDefault="0039602A" w:rsidP="0039602A">
      <w:pPr>
        <w:pStyle w:val="ListParagraph"/>
        <w:ind w:left="1080"/>
      </w:pPr>
    </w:p>
    <w:p w:rsidR="0039602A" w:rsidRDefault="0039602A" w:rsidP="0039602A">
      <w:pPr>
        <w:pStyle w:val="ListParagraph"/>
        <w:ind w:left="1080"/>
      </w:pPr>
    </w:p>
    <w:p w:rsidR="0039602A" w:rsidRDefault="0039602A" w:rsidP="0039602A">
      <w:pPr>
        <w:pStyle w:val="ListParagraph"/>
        <w:ind w:left="1080"/>
      </w:pPr>
    </w:p>
    <w:p w:rsidR="0039602A" w:rsidRDefault="0039602A" w:rsidP="00B7261D">
      <w:pPr>
        <w:pStyle w:val="ListParagraph"/>
        <w:numPr>
          <w:ilvl w:val="0"/>
          <w:numId w:val="3"/>
        </w:numPr>
      </w:pPr>
      <w:r>
        <w:t>Image</w:t>
      </w:r>
    </w:p>
    <w:tbl>
      <w:tblPr>
        <w:tblStyle w:val="TableGrid"/>
        <w:tblW w:w="0" w:type="auto"/>
        <w:tblLook w:val="04A0" w:firstRow="1" w:lastRow="0" w:firstColumn="1" w:lastColumn="0" w:noHBand="0" w:noVBand="1"/>
      </w:tblPr>
      <w:tblGrid>
        <w:gridCol w:w="2122"/>
        <w:gridCol w:w="2268"/>
        <w:gridCol w:w="2546"/>
        <w:gridCol w:w="2080"/>
      </w:tblGrid>
      <w:tr w:rsidR="00133017" w:rsidTr="00133017">
        <w:tc>
          <w:tcPr>
            <w:tcW w:w="2122" w:type="dxa"/>
          </w:tcPr>
          <w:p w:rsidR="00133017" w:rsidRPr="00133017" w:rsidRDefault="00133017" w:rsidP="00133017">
            <w:pPr>
              <w:jc w:val="center"/>
              <w:rPr>
                <w:b/>
              </w:rPr>
            </w:pPr>
            <w:r w:rsidRPr="00133017">
              <w:rPr>
                <w:b/>
              </w:rPr>
              <w:t>Group</w:t>
            </w:r>
          </w:p>
        </w:tc>
        <w:tc>
          <w:tcPr>
            <w:tcW w:w="2268" w:type="dxa"/>
          </w:tcPr>
          <w:p w:rsidR="00133017" w:rsidRPr="00133017" w:rsidRDefault="00133017" w:rsidP="00133017">
            <w:pPr>
              <w:jc w:val="center"/>
              <w:rPr>
                <w:b/>
              </w:rPr>
            </w:pPr>
            <w:r w:rsidRPr="00133017">
              <w:rPr>
                <w:b/>
              </w:rPr>
              <w:t>BBR</w:t>
            </w:r>
          </w:p>
        </w:tc>
        <w:tc>
          <w:tcPr>
            <w:tcW w:w="2546" w:type="dxa"/>
          </w:tcPr>
          <w:p w:rsidR="00133017" w:rsidRPr="00133017" w:rsidRDefault="00133017" w:rsidP="00133017">
            <w:pPr>
              <w:jc w:val="center"/>
              <w:rPr>
                <w:b/>
              </w:rPr>
            </w:pPr>
            <w:r w:rsidRPr="00133017">
              <w:rPr>
                <w:b/>
              </w:rPr>
              <w:t>UBS</w:t>
            </w:r>
          </w:p>
        </w:tc>
        <w:tc>
          <w:tcPr>
            <w:tcW w:w="2080" w:type="dxa"/>
          </w:tcPr>
          <w:p w:rsidR="00133017" w:rsidRPr="00133017" w:rsidRDefault="00133017" w:rsidP="00133017">
            <w:pPr>
              <w:jc w:val="center"/>
              <w:rPr>
                <w:b/>
              </w:rPr>
            </w:pPr>
            <w:r w:rsidRPr="00133017">
              <w:rPr>
                <w:b/>
              </w:rPr>
              <w:t>Statistical difference</w:t>
            </w:r>
          </w:p>
        </w:tc>
      </w:tr>
      <w:tr w:rsidR="00133017" w:rsidTr="00133017">
        <w:tc>
          <w:tcPr>
            <w:tcW w:w="2122" w:type="dxa"/>
          </w:tcPr>
          <w:p w:rsidR="00133017" w:rsidRDefault="00133017" w:rsidP="00133017">
            <w:pPr>
              <w:jc w:val="center"/>
            </w:pPr>
            <w:r>
              <w:t>Total number</w:t>
            </w:r>
          </w:p>
        </w:tc>
        <w:tc>
          <w:tcPr>
            <w:tcW w:w="2268" w:type="dxa"/>
          </w:tcPr>
          <w:p w:rsidR="00133017" w:rsidRDefault="00133017" w:rsidP="00133017">
            <w:pPr>
              <w:jc w:val="center"/>
            </w:pPr>
            <w:r>
              <w:t>200</w:t>
            </w:r>
          </w:p>
        </w:tc>
        <w:tc>
          <w:tcPr>
            <w:tcW w:w="2546" w:type="dxa"/>
          </w:tcPr>
          <w:p w:rsidR="00133017" w:rsidRDefault="00133017" w:rsidP="00133017">
            <w:pPr>
              <w:jc w:val="center"/>
            </w:pPr>
            <w:r>
              <w:t>171</w:t>
            </w:r>
          </w:p>
        </w:tc>
        <w:tc>
          <w:tcPr>
            <w:tcW w:w="2080" w:type="dxa"/>
          </w:tcPr>
          <w:p w:rsidR="00133017" w:rsidRDefault="00133017" w:rsidP="00133017">
            <w:pPr>
              <w:jc w:val="center"/>
            </w:pPr>
          </w:p>
        </w:tc>
      </w:tr>
      <w:tr w:rsidR="00133017" w:rsidTr="00133017">
        <w:tc>
          <w:tcPr>
            <w:tcW w:w="2122" w:type="dxa"/>
          </w:tcPr>
          <w:p w:rsidR="00133017" w:rsidRDefault="00133017" w:rsidP="00133017">
            <w:pPr>
              <w:jc w:val="center"/>
            </w:pPr>
            <w:r>
              <w:t>Gender</w:t>
            </w:r>
          </w:p>
        </w:tc>
        <w:tc>
          <w:tcPr>
            <w:tcW w:w="2268" w:type="dxa"/>
          </w:tcPr>
          <w:p w:rsidR="00133017" w:rsidRDefault="00133017" w:rsidP="00133017">
            <w:pPr>
              <w:jc w:val="center"/>
            </w:pPr>
            <w:r>
              <w:t>All females</w:t>
            </w:r>
          </w:p>
        </w:tc>
        <w:tc>
          <w:tcPr>
            <w:tcW w:w="2546" w:type="dxa"/>
          </w:tcPr>
          <w:p w:rsidR="00133017" w:rsidRDefault="00133017" w:rsidP="00133017">
            <w:pPr>
              <w:jc w:val="center"/>
            </w:pPr>
            <w:r>
              <w:t>All females</w:t>
            </w:r>
          </w:p>
        </w:tc>
        <w:tc>
          <w:tcPr>
            <w:tcW w:w="2080" w:type="dxa"/>
          </w:tcPr>
          <w:p w:rsidR="00133017" w:rsidRDefault="00133017" w:rsidP="00133017">
            <w:pPr>
              <w:jc w:val="center"/>
            </w:pPr>
          </w:p>
        </w:tc>
      </w:tr>
      <w:tr w:rsidR="00133017" w:rsidTr="00133017">
        <w:tc>
          <w:tcPr>
            <w:tcW w:w="2122" w:type="dxa"/>
          </w:tcPr>
          <w:p w:rsidR="00133017" w:rsidRDefault="00133017" w:rsidP="00133017">
            <w:pPr>
              <w:jc w:val="center"/>
            </w:pPr>
            <w:r>
              <w:t>Resection weight (g)</w:t>
            </w:r>
          </w:p>
        </w:tc>
        <w:tc>
          <w:tcPr>
            <w:tcW w:w="2268" w:type="dxa"/>
          </w:tcPr>
          <w:p w:rsidR="00133017" w:rsidRDefault="00133017" w:rsidP="00133017">
            <w:pPr>
              <w:jc w:val="center"/>
            </w:pPr>
            <w:r>
              <w:t>640</w:t>
            </w:r>
          </w:p>
        </w:tc>
        <w:tc>
          <w:tcPr>
            <w:tcW w:w="2546" w:type="dxa"/>
          </w:tcPr>
          <w:p w:rsidR="00133017" w:rsidRDefault="00133017" w:rsidP="00133017">
            <w:pPr>
              <w:jc w:val="center"/>
            </w:pPr>
            <w:r>
              <w:t>420</w:t>
            </w:r>
          </w:p>
        </w:tc>
        <w:tc>
          <w:tcPr>
            <w:tcW w:w="2080" w:type="dxa"/>
          </w:tcPr>
          <w:p w:rsidR="00133017" w:rsidRDefault="00133017" w:rsidP="00133017">
            <w:pPr>
              <w:jc w:val="center"/>
            </w:pPr>
            <w:r>
              <w:t>P=0.03</w:t>
            </w:r>
          </w:p>
        </w:tc>
      </w:tr>
      <w:tr w:rsidR="00133017" w:rsidTr="00133017">
        <w:tc>
          <w:tcPr>
            <w:tcW w:w="2122" w:type="dxa"/>
          </w:tcPr>
          <w:p w:rsidR="00133017" w:rsidRDefault="00133017" w:rsidP="00133017">
            <w:pPr>
              <w:jc w:val="center"/>
            </w:pPr>
            <w:r>
              <w:t>Mean follow up</w:t>
            </w:r>
          </w:p>
        </w:tc>
        <w:tc>
          <w:tcPr>
            <w:tcW w:w="2268" w:type="dxa"/>
          </w:tcPr>
          <w:p w:rsidR="00133017" w:rsidRDefault="00133017" w:rsidP="00133017">
            <w:pPr>
              <w:jc w:val="center"/>
            </w:pPr>
            <w:r>
              <w:t>8 years 6 months</w:t>
            </w:r>
          </w:p>
        </w:tc>
        <w:tc>
          <w:tcPr>
            <w:tcW w:w="2546" w:type="dxa"/>
          </w:tcPr>
          <w:p w:rsidR="00133017" w:rsidRDefault="00133017" w:rsidP="00133017">
            <w:pPr>
              <w:jc w:val="center"/>
            </w:pPr>
            <w:r>
              <w:t>6 years 4 months</w:t>
            </w:r>
          </w:p>
          <w:p w:rsidR="00133017" w:rsidRDefault="00133017" w:rsidP="00133017">
            <w:pPr>
              <w:jc w:val="center"/>
            </w:pPr>
            <w:r>
              <w:t>(9 died from metastatic disease)</w:t>
            </w:r>
          </w:p>
        </w:tc>
        <w:tc>
          <w:tcPr>
            <w:tcW w:w="2080" w:type="dxa"/>
          </w:tcPr>
          <w:p w:rsidR="00133017" w:rsidRDefault="00133017" w:rsidP="00133017">
            <w:pPr>
              <w:jc w:val="center"/>
            </w:pPr>
            <w:r>
              <w:t>p&gt;0.05</w:t>
            </w:r>
          </w:p>
        </w:tc>
      </w:tr>
      <w:tr w:rsidR="00133017" w:rsidTr="00133017">
        <w:tc>
          <w:tcPr>
            <w:tcW w:w="2122" w:type="dxa"/>
          </w:tcPr>
          <w:p w:rsidR="00133017" w:rsidRDefault="00133017" w:rsidP="00133017">
            <w:pPr>
              <w:jc w:val="center"/>
            </w:pPr>
            <w:r>
              <w:t>Pathology</w:t>
            </w:r>
          </w:p>
        </w:tc>
        <w:tc>
          <w:tcPr>
            <w:tcW w:w="2268" w:type="dxa"/>
          </w:tcPr>
          <w:p w:rsidR="00133017" w:rsidRDefault="00133017" w:rsidP="00133017">
            <w:pPr>
              <w:jc w:val="center"/>
            </w:pPr>
          </w:p>
        </w:tc>
        <w:tc>
          <w:tcPr>
            <w:tcW w:w="2546" w:type="dxa"/>
          </w:tcPr>
          <w:p w:rsidR="00133017" w:rsidRDefault="00133017" w:rsidP="00133017">
            <w:pPr>
              <w:jc w:val="center"/>
            </w:pPr>
          </w:p>
        </w:tc>
        <w:tc>
          <w:tcPr>
            <w:tcW w:w="2080" w:type="dxa"/>
          </w:tcPr>
          <w:p w:rsidR="00133017" w:rsidRDefault="00133017" w:rsidP="00133017">
            <w:pPr>
              <w:jc w:val="center"/>
            </w:pPr>
          </w:p>
        </w:tc>
      </w:tr>
      <w:tr w:rsidR="00133017" w:rsidTr="00133017">
        <w:tc>
          <w:tcPr>
            <w:tcW w:w="2122" w:type="dxa"/>
          </w:tcPr>
          <w:p w:rsidR="00133017" w:rsidRDefault="00133017" w:rsidP="00133017">
            <w:pPr>
              <w:jc w:val="center"/>
            </w:pPr>
            <w:r>
              <w:t>Cancer</w:t>
            </w:r>
          </w:p>
        </w:tc>
        <w:tc>
          <w:tcPr>
            <w:tcW w:w="2268" w:type="dxa"/>
          </w:tcPr>
          <w:p w:rsidR="00133017" w:rsidRPr="00FB58F3" w:rsidRDefault="00133017" w:rsidP="00133017">
            <w:pPr>
              <w:jc w:val="center"/>
              <w:rPr>
                <w:b/>
              </w:rPr>
            </w:pPr>
            <w:r w:rsidRPr="00FB58F3">
              <w:rPr>
                <w:b/>
              </w:rPr>
              <w:t>0</w:t>
            </w:r>
          </w:p>
        </w:tc>
        <w:tc>
          <w:tcPr>
            <w:tcW w:w="2546" w:type="dxa"/>
          </w:tcPr>
          <w:p w:rsidR="00133017" w:rsidRPr="00FB58F3" w:rsidRDefault="00133017" w:rsidP="00133017">
            <w:pPr>
              <w:jc w:val="center"/>
              <w:rPr>
                <w:b/>
              </w:rPr>
            </w:pPr>
            <w:r w:rsidRPr="00FB58F3">
              <w:rPr>
                <w:b/>
              </w:rPr>
              <w:t>0</w:t>
            </w:r>
          </w:p>
        </w:tc>
        <w:tc>
          <w:tcPr>
            <w:tcW w:w="2080" w:type="dxa"/>
            <w:vMerge w:val="restart"/>
          </w:tcPr>
          <w:p w:rsidR="00133017" w:rsidRDefault="00133017" w:rsidP="00133017">
            <w:pPr>
              <w:jc w:val="center"/>
            </w:pPr>
          </w:p>
          <w:p w:rsidR="00133017" w:rsidRDefault="00133017" w:rsidP="00133017">
            <w:pPr>
              <w:jc w:val="center"/>
            </w:pPr>
          </w:p>
          <w:p w:rsidR="00133017" w:rsidRDefault="00133017" w:rsidP="00133017">
            <w:pPr>
              <w:jc w:val="center"/>
            </w:pPr>
          </w:p>
          <w:p w:rsidR="00133017" w:rsidRDefault="00133017" w:rsidP="00133017">
            <w:pPr>
              <w:jc w:val="center"/>
            </w:pPr>
            <w:r>
              <w:t>P=0.41</w:t>
            </w:r>
          </w:p>
        </w:tc>
      </w:tr>
      <w:tr w:rsidR="00133017" w:rsidTr="00133017">
        <w:tc>
          <w:tcPr>
            <w:tcW w:w="2122" w:type="dxa"/>
          </w:tcPr>
          <w:p w:rsidR="00133017" w:rsidRDefault="00133017" w:rsidP="00133017">
            <w:pPr>
              <w:jc w:val="center"/>
            </w:pPr>
            <w:r>
              <w:t>Precancerous</w:t>
            </w:r>
          </w:p>
        </w:tc>
        <w:tc>
          <w:tcPr>
            <w:tcW w:w="2268" w:type="dxa"/>
          </w:tcPr>
          <w:p w:rsidR="00133017" w:rsidRDefault="00133017" w:rsidP="00133017">
            <w:pPr>
              <w:jc w:val="center"/>
            </w:pPr>
            <w:r>
              <w:t>1 (DCIS)</w:t>
            </w:r>
          </w:p>
        </w:tc>
        <w:tc>
          <w:tcPr>
            <w:tcW w:w="2546" w:type="dxa"/>
          </w:tcPr>
          <w:p w:rsidR="00133017" w:rsidRDefault="00133017" w:rsidP="00133017">
            <w:pPr>
              <w:jc w:val="center"/>
            </w:pPr>
            <w:r>
              <w:t>2 (DCIS)</w:t>
            </w:r>
          </w:p>
        </w:tc>
        <w:tc>
          <w:tcPr>
            <w:tcW w:w="2080" w:type="dxa"/>
            <w:vMerge/>
          </w:tcPr>
          <w:p w:rsidR="00133017" w:rsidRDefault="00133017" w:rsidP="00133017">
            <w:pPr>
              <w:jc w:val="center"/>
            </w:pPr>
          </w:p>
        </w:tc>
      </w:tr>
      <w:tr w:rsidR="00133017" w:rsidTr="00133017">
        <w:tc>
          <w:tcPr>
            <w:tcW w:w="2122" w:type="dxa"/>
          </w:tcPr>
          <w:p w:rsidR="00133017" w:rsidRDefault="00133017" w:rsidP="00133017">
            <w:pPr>
              <w:jc w:val="center"/>
            </w:pPr>
            <w:r>
              <w:t>Benign pathology</w:t>
            </w:r>
          </w:p>
        </w:tc>
        <w:tc>
          <w:tcPr>
            <w:tcW w:w="2268" w:type="dxa"/>
          </w:tcPr>
          <w:p w:rsidR="00133017" w:rsidRDefault="00133017" w:rsidP="00133017">
            <w:pPr>
              <w:jc w:val="center"/>
            </w:pPr>
            <w:r>
              <w:t>60</w:t>
            </w:r>
          </w:p>
        </w:tc>
        <w:tc>
          <w:tcPr>
            <w:tcW w:w="2546" w:type="dxa"/>
          </w:tcPr>
          <w:p w:rsidR="00133017" w:rsidRDefault="00133017" w:rsidP="00133017">
            <w:pPr>
              <w:jc w:val="center"/>
            </w:pPr>
            <w:r>
              <w:t>43</w:t>
            </w:r>
          </w:p>
        </w:tc>
        <w:tc>
          <w:tcPr>
            <w:tcW w:w="2080" w:type="dxa"/>
            <w:vMerge/>
          </w:tcPr>
          <w:p w:rsidR="00133017" w:rsidRDefault="00133017" w:rsidP="00133017">
            <w:pPr>
              <w:jc w:val="center"/>
            </w:pPr>
          </w:p>
        </w:tc>
      </w:tr>
      <w:tr w:rsidR="00133017" w:rsidTr="00133017">
        <w:tc>
          <w:tcPr>
            <w:tcW w:w="2122" w:type="dxa"/>
          </w:tcPr>
          <w:p w:rsidR="00133017" w:rsidRDefault="00133017" w:rsidP="00133017">
            <w:pPr>
              <w:jc w:val="center"/>
            </w:pPr>
            <w:r>
              <w:t>Normal breast tissue</w:t>
            </w:r>
          </w:p>
        </w:tc>
        <w:tc>
          <w:tcPr>
            <w:tcW w:w="2268" w:type="dxa"/>
          </w:tcPr>
          <w:p w:rsidR="00133017" w:rsidRDefault="00133017" w:rsidP="00133017">
            <w:pPr>
              <w:jc w:val="center"/>
            </w:pPr>
            <w:r>
              <w:t>139</w:t>
            </w:r>
          </w:p>
        </w:tc>
        <w:tc>
          <w:tcPr>
            <w:tcW w:w="2546" w:type="dxa"/>
          </w:tcPr>
          <w:p w:rsidR="00133017" w:rsidRDefault="00133017" w:rsidP="00133017">
            <w:pPr>
              <w:jc w:val="center"/>
            </w:pPr>
            <w:r>
              <w:t>130</w:t>
            </w:r>
          </w:p>
        </w:tc>
        <w:tc>
          <w:tcPr>
            <w:tcW w:w="2080" w:type="dxa"/>
            <w:vMerge/>
          </w:tcPr>
          <w:p w:rsidR="00133017" w:rsidRDefault="00133017" w:rsidP="00133017">
            <w:pPr>
              <w:jc w:val="center"/>
            </w:pPr>
          </w:p>
        </w:tc>
      </w:tr>
      <w:tr w:rsidR="00133017" w:rsidTr="00133017">
        <w:tc>
          <w:tcPr>
            <w:tcW w:w="2122" w:type="dxa"/>
          </w:tcPr>
          <w:p w:rsidR="00133017" w:rsidRDefault="00133017" w:rsidP="00133017">
            <w:pPr>
              <w:jc w:val="center"/>
            </w:pPr>
          </w:p>
        </w:tc>
        <w:tc>
          <w:tcPr>
            <w:tcW w:w="2268" w:type="dxa"/>
          </w:tcPr>
          <w:p w:rsidR="00133017" w:rsidRDefault="00133017" w:rsidP="00133017">
            <w:pPr>
              <w:jc w:val="center"/>
            </w:pPr>
          </w:p>
        </w:tc>
        <w:tc>
          <w:tcPr>
            <w:tcW w:w="2546" w:type="dxa"/>
          </w:tcPr>
          <w:p w:rsidR="00133017" w:rsidRDefault="00133017" w:rsidP="00133017">
            <w:pPr>
              <w:jc w:val="center"/>
            </w:pPr>
          </w:p>
        </w:tc>
        <w:tc>
          <w:tcPr>
            <w:tcW w:w="2080" w:type="dxa"/>
          </w:tcPr>
          <w:p w:rsidR="00133017" w:rsidRDefault="00133017" w:rsidP="00133017">
            <w:pPr>
              <w:jc w:val="center"/>
            </w:pPr>
          </w:p>
        </w:tc>
      </w:tr>
      <w:tr w:rsidR="00133017" w:rsidTr="00133017">
        <w:tc>
          <w:tcPr>
            <w:tcW w:w="2122" w:type="dxa"/>
          </w:tcPr>
          <w:p w:rsidR="00133017" w:rsidRDefault="00FB58F3" w:rsidP="00133017">
            <w:pPr>
              <w:jc w:val="center"/>
            </w:pPr>
            <w:r>
              <w:t xml:space="preserve">Outcome of DCIS </w:t>
            </w:r>
          </w:p>
        </w:tc>
        <w:tc>
          <w:tcPr>
            <w:tcW w:w="2268" w:type="dxa"/>
          </w:tcPr>
          <w:p w:rsidR="00133017" w:rsidRDefault="00FB58F3" w:rsidP="00133017">
            <w:pPr>
              <w:jc w:val="center"/>
            </w:pPr>
            <w:r>
              <w:t>(N=1)</w:t>
            </w:r>
          </w:p>
        </w:tc>
        <w:tc>
          <w:tcPr>
            <w:tcW w:w="2546" w:type="dxa"/>
          </w:tcPr>
          <w:p w:rsidR="00133017" w:rsidRDefault="00FB58F3" w:rsidP="00133017">
            <w:pPr>
              <w:jc w:val="center"/>
            </w:pPr>
            <w:r>
              <w:t>(N=2)</w:t>
            </w:r>
          </w:p>
        </w:tc>
        <w:tc>
          <w:tcPr>
            <w:tcW w:w="2080" w:type="dxa"/>
          </w:tcPr>
          <w:p w:rsidR="00133017" w:rsidRDefault="00133017" w:rsidP="00133017">
            <w:pPr>
              <w:jc w:val="center"/>
            </w:pPr>
          </w:p>
        </w:tc>
      </w:tr>
      <w:tr w:rsidR="00FB58F3" w:rsidTr="00133017">
        <w:tc>
          <w:tcPr>
            <w:tcW w:w="2122" w:type="dxa"/>
          </w:tcPr>
          <w:p w:rsidR="00FB58F3" w:rsidRDefault="00FB58F3" w:rsidP="00133017">
            <w:pPr>
              <w:jc w:val="center"/>
            </w:pPr>
            <w:r>
              <w:t>Observe under breast team</w:t>
            </w:r>
          </w:p>
        </w:tc>
        <w:tc>
          <w:tcPr>
            <w:tcW w:w="2268" w:type="dxa"/>
          </w:tcPr>
          <w:p w:rsidR="00FB58F3" w:rsidRDefault="00FB58F3" w:rsidP="00133017">
            <w:pPr>
              <w:jc w:val="center"/>
            </w:pPr>
            <w:r>
              <w:t>1</w:t>
            </w:r>
          </w:p>
        </w:tc>
        <w:tc>
          <w:tcPr>
            <w:tcW w:w="2546" w:type="dxa"/>
          </w:tcPr>
          <w:p w:rsidR="00FB58F3" w:rsidRDefault="00FB58F3" w:rsidP="00133017">
            <w:pPr>
              <w:jc w:val="center"/>
            </w:pPr>
            <w:r>
              <w:t>1</w:t>
            </w:r>
          </w:p>
        </w:tc>
        <w:tc>
          <w:tcPr>
            <w:tcW w:w="2080" w:type="dxa"/>
            <w:vMerge w:val="restart"/>
          </w:tcPr>
          <w:p w:rsidR="00FB58F3" w:rsidRDefault="00FB58F3" w:rsidP="00133017">
            <w:pPr>
              <w:jc w:val="center"/>
            </w:pPr>
          </w:p>
          <w:p w:rsidR="00FB58F3" w:rsidRDefault="00FB58F3" w:rsidP="00133017">
            <w:pPr>
              <w:jc w:val="center"/>
            </w:pPr>
          </w:p>
          <w:p w:rsidR="00FB58F3" w:rsidRDefault="00FB58F3" w:rsidP="00133017">
            <w:pPr>
              <w:jc w:val="center"/>
            </w:pPr>
            <w:r>
              <w:t>P=0.38</w:t>
            </w:r>
          </w:p>
        </w:tc>
      </w:tr>
      <w:tr w:rsidR="00FB58F3" w:rsidTr="00133017">
        <w:tc>
          <w:tcPr>
            <w:tcW w:w="2122" w:type="dxa"/>
          </w:tcPr>
          <w:p w:rsidR="00FB58F3" w:rsidRDefault="00FB58F3" w:rsidP="00133017">
            <w:pPr>
              <w:jc w:val="center"/>
            </w:pPr>
            <w:r>
              <w:t>Mastectomy</w:t>
            </w:r>
          </w:p>
        </w:tc>
        <w:tc>
          <w:tcPr>
            <w:tcW w:w="2268" w:type="dxa"/>
          </w:tcPr>
          <w:p w:rsidR="00FB58F3" w:rsidRDefault="00FB58F3" w:rsidP="00133017">
            <w:pPr>
              <w:jc w:val="center"/>
            </w:pPr>
            <w:r>
              <w:t>0</w:t>
            </w:r>
          </w:p>
        </w:tc>
        <w:tc>
          <w:tcPr>
            <w:tcW w:w="2546" w:type="dxa"/>
          </w:tcPr>
          <w:p w:rsidR="00FB58F3" w:rsidRDefault="00FB58F3" w:rsidP="00133017">
            <w:pPr>
              <w:jc w:val="center"/>
            </w:pPr>
            <w:r>
              <w:t>1</w:t>
            </w:r>
          </w:p>
        </w:tc>
        <w:tc>
          <w:tcPr>
            <w:tcW w:w="2080" w:type="dxa"/>
            <w:vMerge/>
          </w:tcPr>
          <w:p w:rsidR="00FB58F3" w:rsidRDefault="00FB58F3" w:rsidP="00133017">
            <w:pPr>
              <w:jc w:val="center"/>
            </w:pPr>
          </w:p>
        </w:tc>
      </w:tr>
    </w:tbl>
    <w:p w:rsidR="00133017" w:rsidRDefault="00133017"/>
    <w:p w:rsidR="0039602A" w:rsidRDefault="0039602A" w:rsidP="0039602A">
      <w:pPr>
        <w:pStyle w:val="ListParagraph"/>
        <w:numPr>
          <w:ilvl w:val="0"/>
          <w:numId w:val="3"/>
        </w:numPr>
      </w:pPr>
      <w:r>
        <w:lastRenderedPageBreak/>
        <w:t>Reference</w:t>
      </w:r>
    </w:p>
    <w:p w:rsidR="0039602A" w:rsidRDefault="0039602A" w:rsidP="0039602A">
      <w:pPr>
        <w:pStyle w:val="ListParagraph"/>
        <w:numPr>
          <w:ilvl w:val="0"/>
          <w:numId w:val="4"/>
        </w:numPr>
      </w:pPr>
      <w:hyperlink r:id="rId5" w:history="1">
        <w:r w:rsidRPr="00DC788E">
          <w:rPr>
            <w:rStyle w:val="Hyperlink"/>
          </w:rPr>
          <w:t>https://www.facs.org/media/press-releases/2016/marmor-101816</w:t>
        </w:r>
      </w:hyperlink>
    </w:p>
    <w:p w:rsidR="0039602A" w:rsidRDefault="0039602A" w:rsidP="0039602A">
      <w:pPr>
        <w:pStyle w:val="ListParagraph"/>
      </w:pPr>
    </w:p>
    <w:p w:rsidR="0039602A" w:rsidRDefault="0039602A" w:rsidP="0039602A">
      <w:pPr>
        <w:pStyle w:val="ListParagraph"/>
        <w:numPr>
          <w:ilvl w:val="0"/>
          <w:numId w:val="3"/>
        </w:numPr>
      </w:pPr>
      <w:r>
        <w:t>Bibliography</w:t>
      </w:r>
    </w:p>
    <w:p w:rsidR="00C942FE" w:rsidRDefault="0039602A" w:rsidP="0039602A">
      <w:pPr>
        <w:ind w:left="360"/>
      </w:pPr>
      <w:r>
        <w:t>Eric Tan is a senior fellow</w:t>
      </w:r>
      <w:r w:rsidR="00C942FE">
        <w:t>/clinical lecturer</w:t>
      </w:r>
      <w:r>
        <w:t xml:space="preserve"> in Plastic Surgery in</w:t>
      </w:r>
      <w:r w:rsidR="00C942FE">
        <w:t xml:space="preserve"> University of Otago/Christchurch Hospital,</w:t>
      </w:r>
      <w:r>
        <w:t xml:space="preserve"> New Zealand. He graduated in United Kingdom in 2002 with MBCHB and completed MRCS, CCBST and </w:t>
      </w:r>
      <w:proofErr w:type="spellStart"/>
      <w:r>
        <w:t>FRCSPlast</w:t>
      </w:r>
      <w:proofErr w:type="spellEnd"/>
      <w:r>
        <w:t xml:space="preserve"> during his plastic surgery training. He has been awarded for multiple awards like </w:t>
      </w:r>
      <w:proofErr w:type="spellStart"/>
      <w:r>
        <w:t>Henessy</w:t>
      </w:r>
      <w:proofErr w:type="spellEnd"/>
      <w:r>
        <w:t xml:space="preserve"> Prize in Surgery and</w:t>
      </w:r>
      <w:r w:rsidR="00C942FE">
        <w:t xml:space="preserve"> 2010 Wessex Education Award (commendation) as well as nominated for various awards for innovation, service improvement and medical education. He reviews articles for British Medical Journal and write for e-BAPRAS as well as previously acted as international committee member in Plastic Surgery Education Network in USA for Microsurgery subdivision.</w:t>
      </w:r>
      <w:bookmarkStart w:id="0" w:name="_GoBack"/>
      <w:bookmarkEnd w:id="0"/>
    </w:p>
    <w:p w:rsidR="0039602A" w:rsidRDefault="0039602A" w:rsidP="0039602A">
      <w:pPr>
        <w:ind w:left="360"/>
      </w:pPr>
    </w:p>
    <w:sectPr w:rsidR="003960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5572A"/>
    <w:multiLevelType w:val="multilevel"/>
    <w:tmpl w:val="7D22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80CC6"/>
    <w:multiLevelType w:val="hybridMultilevel"/>
    <w:tmpl w:val="98322E20"/>
    <w:lvl w:ilvl="0" w:tplc="2B4E94F2">
      <w:start w:val="1"/>
      <w:numFmt w:val="upp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EDE3E17"/>
    <w:multiLevelType w:val="hybridMultilevel"/>
    <w:tmpl w:val="119E434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6B4F7F80"/>
    <w:multiLevelType w:val="hybridMultilevel"/>
    <w:tmpl w:val="655E67D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34A"/>
    <w:rsid w:val="000C334A"/>
    <w:rsid w:val="00133017"/>
    <w:rsid w:val="00185DF9"/>
    <w:rsid w:val="001A3F49"/>
    <w:rsid w:val="002B0382"/>
    <w:rsid w:val="0039602A"/>
    <w:rsid w:val="003B0AD3"/>
    <w:rsid w:val="0046500F"/>
    <w:rsid w:val="00536603"/>
    <w:rsid w:val="005D6BC7"/>
    <w:rsid w:val="006C3021"/>
    <w:rsid w:val="007C5C8F"/>
    <w:rsid w:val="00A53147"/>
    <w:rsid w:val="00BB6D2F"/>
    <w:rsid w:val="00BC7895"/>
    <w:rsid w:val="00C942FE"/>
    <w:rsid w:val="00D83CD0"/>
    <w:rsid w:val="00E01B91"/>
    <w:rsid w:val="00F46191"/>
    <w:rsid w:val="00FB58F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012BC-CC9D-422B-B197-D431668B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3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602A"/>
    <w:pPr>
      <w:ind w:left="720"/>
      <w:contextualSpacing/>
    </w:pPr>
  </w:style>
  <w:style w:type="character" w:styleId="Hyperlink">
    <w:name w:val="Hyperlink"/>
    <w:basedOn w:val="DefaultParagraphFont"/>
    <w:uiPriority w:val="99"/>
    <w:unhideWhenUsed/>
    <w:rsid w:val="003960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27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s.org/media/press-releases/2016/marmor-10181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69661C4C</Template>
  <TotalTime>0</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Lun Wong</dc:creator>
  <cp:keywords/>
  <dc:description/>
  <cp:lastModifiedBy>Eric Tan</cp:lastModifiedBy>
  <cp:revision>2</cp:revision>
  <dcterms:created xsi:type="dcterms:W3CDTF">2018-05-01T06:07:00Z</dcterms:created>
  <dcterms:modified xsi:type="dcterms:W3CDTF">2018-05-01T06:07:00Z</dcterms:modified>
</cp:coreProperties>
</file>