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  <w:lang w:val="en-US"/>
        </w:rPr>
        <w:t>Superdry liposuction 4D in the treatment of lipohypertrophy and lipoedema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Karacalar A, Turkey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 xml:space="preserve"> 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  <w:lang w:val="en-US"/>
        </w:rPr>
        <w:t>Statement of the Problem:</w:t>
      </w:r>
      <w:r>
        <w:rPr>
          <w:rFonts w:ascii="Arial"/>
          <w:sz w:val="24"/>
          <w:szCs w:val="24"/>
          <w:rtl w:val="0"/>
        </w:rPr>
        <w:t xml:space="preserve"> </w:t>
      </w:r>
      <w:r>
        <w:rPr>
          <w:rFonts w:ascii="Arial"/>
          <w:sz w:val="24"/>
          <w:szCs w:val="24"/>
          <w:rtl w:val="0"/>
        </w:rPr>
        <w:t>Lipohypertophy</w:t>
      </w:r>
      <w:r>
        <w:rPr>
          <w:rFonts w:hAnsi="Arial" w:hint="default"/>
          <w:sz w:val="24"/>
          <w:szCs w:val="24"/>
          <w:rtl w:val="0"/>
        </w:rPr>
        <w:t xml:space="preserve">  </w:t>
      </w:r>
      <w:r>
        <w:rPr>
          <w:rFonts w:ascii="Arial"/>
          <w:sz w:val="24"/>
          <w:szCs w:val="24"/>
          <w:rtl w:val="0"/>
          <w:lang w:val="en-US"/>
        </w:rPr>
        <w:t>and lipoedema are a fat distribution disorder causing massive, bilaterally symmetrical enlargement of the lower</w:t>
      </w:r>
      <w:r>
        <w:rPr>
          <w:rFonts w:hAnsi="Arial" w:hint="default"/>
          <w:sz w:val="24"/>
          <w:szCs w:val="24"/>
          <w:rtl w:val="0"/>
        </w:rPr>
        <w:t xml:space="preserve">  </w:t>
      </w:r>
      <w:r>
        <w:rPr>
          <w:rFonts w:ascii="Arial"/>
          <w:sz w:val="24"/>
          <w:szCs w:val="24"/>
          <w:rtl w:val="0"/>
          <w:lang w:val="en-US"/>
        </w:rPr>
        <w:t xml:space="preserve">extremities </w:t>
      </w:r>
      <w:r>
        <w:rPr>
          <w:rFonts w:ascii="Arial"/>
          <w:sz w:val="24"/>
          <w:szCs w:val="24"/>
          <w:rtl w:val="0"/>
        </w:rPr>
        <w:t xml:space="preserve">particularly </w:t>
      </w:r>
      <w:r>
        <w:rPr>
          <w:rFonts w:ascii="Arial"/>
          <w:sz w:val="24"/>
          <w:szCs w:val="24"/>
          <w:rtl w:val="0"/>
          <w:lang w:val="en-US"/>
        </w:rPr>
        <w:t>in women.It is known that the leg has only one layer of subcutaneous tissue, leaving little margin for error.</w:t>
      </w:r>
      <w:r>
        <w:rPr>
          <w:rFonts w:ascii="Arial"/>
          <w:sz w:val="24"/>
          <w:szCs w:val="24"/>
          <w:rtl w:val="0"/>
        </w:rPr>
        <w:t xml:space="preserve"> This </w:t>
      </w:r>
      <w:r>
        <w:rPr>
          <w:rFonts w:ascii="Arial"/>
          <w:sz w:val="24"/>
          <w:szCs w:val="24"/>
          <w:rtl w:val="0"/>
          <w:lang w:val="en-US"/>
        </w:rPr>
        <w:t>peculiarity</w:t>
      </w:r>
      <w:r>
        <w:rPr>
          <w:rFonts w:ascii="Arial"/>
          <w:sz w:val="24"/>
          <w:szCs w:val="24"/>
          <w:rtl w:val="0"/>
        </w:rPr>
        <w:t xml:space="preserve"> calls for a different approach than that of the other regions.</w:t>
      </w:r>
      <w:r>
        <w:rPr>
          <w:rFonts w:ascii="Arial"/>
          <w:sz w:val="24"/>
          <w:szCs w:val="24"/>
          <w:rtl w:val="0"/>
          <w:lang w:val="en-US"/>
        </w:rPr>
        <w:t xml:space="preserve"> Liposuction under a tourniquet allows the surgery to be performed </w:t>
      </w:r>
      <w:r>
        <w:rPr>
          <w:rFonts w:ascii="Arial"/>
          <w:sz w:val="24"/>
          <w:szCs w:val="24"/>
          <w:rtl w:val="0"/>
        </w:rPr>
        <w:t xml:space="preserve"> conscientiously </w:t>
      </w:r>
      <w:r>
        <w:rPr>
          <w:rFonts w:ascii="Arial"/>
          <w:sz w:val="24"/>
          <w:szCs w:val="24"/>
          <w:rtl w:val="0"/>
          <w:lang w:val="en-US"/>
        </w:rPr>
        <w:t xml:space="preserve"> and </w:t>
      </w:r>
      <w:r>
        <w:rPr>
          <w:rFonts w:ascii="Arial"/>
          <w:sz w:val="24"/>
          <w:szCs w:val="24"/>
          <w:rtl w:val="0"/>
        </w:rPr>
        <w:t>safely</w:t>
      </w:r>
      <w:r>
        <w:rPr>
          <w:rFonts w:ascii="Arial"/>
          <w:sz w:val="24"/>
          <w:szCs w:val="24"/>
          <w:rtl w:val="0"/>
          <w:lang w:val="en-US"/>
        </w:rPr>
        <w:t>. The author published</w:t>
      </w:r>
      <w:r>
        <w:rPr>
          <w:rFonts w:hAnsi="Arial" w:hint="default"/>
          <w:sz w:val="24"/>
          <w:szCs w:val="24"/>
          <w:rtl w:val="0"/>
        </w:rPr>
        <w:t xml:space="preserve">  </w:t>
      </w:r>
      <w:r>
        <w:rPr>
          <w:rFonts w:ascii="Arial"/>
          <w:sz w:val="24"/>
          <w:szCs w:val="24"/>
          <w:rtl w:val="0"/>
          <w:lang w:val="en-US"/>
        </w:rPr>
        <w:t>this</w:t>
      </w:r>
      <w:r>
        <w:rPr>
          <w:rFonts w:ascii="Arial"/>
          <w:sz w:val="24"/>
          <w:szCs w:val="24"/>
          <w:rtl w:val="0"/>
        </w:rPr>
        <w:t xml:space="preserve"> approach  </w:t>
      </w:r>
      <w:r>
        <w:rPr>
          <w:rFonts w:ascii="Arial"/>
          <w:sz w:val="24"/>
          <w:szCs w:val="24"/>
          <w:rtl w:val="0"/>
          <w:lang w:val="en-US"/>
        </w:rPr>
        <w:t xml:space="preserve"> as the superdry technique for the kneecap area previously, which evolved </w:t>
      </w:r>
      <w:r>
        <w:rPr>
          <w:rFonts w:ascii="Arial"/>
          <w:sz w:val="24"/>
          <w:szCs w:val="24"/>
          <w:rtl w:val="0"/>
        </w:rPr>
        <w:t xml:space="preserve">into </w:t>
      </w:r>
      <w:r>
        <w:rPr>
          <w:rFonts w:hAnsi="Arial" w:hint="default"/>
          <w:sz w:val="24"/>
          <w:szCs w:val="24"/>
          <w:rtl w:val="0"/>
        </w:rPr>
        <w:t> </w:t>
      </w:r>
      <w:r>
        <w:rPr>
          <w:rFonts w:ascii="Arial"/>
          <w:sz w:val="24"/>
          <w:szCs w:val="24"/>
          <w:rtl w:val="0"/>
        </w:rPr>
        <w:t>t</w:t>
      </w:r>
      <w:r>
        <w:rPr>
          <w:rFonts w:ascii="Arial"/>
          <w:sz w:val="24"/>
          <w:szCs w:val="24"/>
          <w:rtl w:val="0"/>
          <w:lang w:val="en-US"/>
        </w:rPr>
        <w:t>he superdry liposuction 4D</w:t>
      </w:r>
      <w:r>
        <w:rPr>
          <w:rFonts w:ascii="Arial"/>
          <w:sz w:val="24"/>
          <w:szCs w:val="24"/>
          <w:rtl w:val="0"/>
        </w:rPr>
        <w:t xml:space="preserve"> </w:t>
      </w:r>
      <w:r>
        <w:rPr>
          <w:rFonts w:ascii="Arial"/>
          <w:sz w:val="24"/>
          <w:szCs w:val="24"/>
          <w:rtl w:val="0"/>
          <w:lang w:val="en-US"/>
        </w:rPr>
        <w:t xml:space="preserve"> by the influence of  accumulating experience</w:t>
      </w:r>
      <w:r>
        <w:rPr>
          <w:rFonts w:ascii="Arial"/>
          <w:sz w:val="24"/>
          <w:szCs w:val="24"/>
          <w:rtl w:val="0"/>
        </w:rPr>
        <w:t xml:space="preserve">. </w:t>
      </w:r>
      <w:r>
        <w:rPr>
          <w:rFonts w:ascii="Arial"/>
          <w:sz w:val="24"/>
          <w:szCs w:val="24"/>
          <w:rtl w:val="0"/>
          <w:lang w:val="en-US"/>
        </w:rPr>
        <w:t>This approach goes one step further in the process of leg sculpting.</w:t>
      </w:r>
      <w:r>
        <w:rPr>
          <w:rFonts w:ascii="Arial"/>
          <w:sz w:val="24"/>
          <w:szCs w:val="24"/>
          <w:rtl w:val="0"/>
        </w:rPr>
        <w:t xml:space="preserve"> </w:t>
      </w:r>
      <w:r>
        <w:rPr>
          <w:rFonts w:ascii="Arial"/>
          <w:sz w:val="24"/>
          <w:szCs w:val="24"/>
          <w:rtl w:val="0"/>
          <w:lang w:val="en-US"/>
        </w:rPr>
        <w:t>Methodology &amp; Theoretical Orientation:</w:t>
      </w:r>
      <w:r>
        <w:rPr>
          <w:rFonts w:ascii="Arial"/>
          <w:sz w:val="24"/>
          <w:szCs w:val="24"/>
          <w:rtl w:val="0"/>
        </w:rPr>
        <w:t>Over 100</w:t>
      </w:r>
      <w:r>
        <w:rPr>
          <w:rFonts w:ascii="Arial"/>
          <w:sz w:val="24"/>
          <w:szCs w:val="24"/>
          <w:rtl w:val="0"/>
          <w:lang w:val="fr-FR"/>
        </w:rPr>
        <w:t xml:space="preserve"> patients</w:t>
      </w:r>
      <w:r>
        <w:rPr>
          <w:rFonts w:ascii="Arial"/>
          <w:sz w:val="24"/>
          <w:szCs w:val="24"/>
          <w:rtl w:val="0"/>
        </w:rPr>
        <w:t xml:space="preserve"> </w:t>
      </w:r>
      <w:r>
        <w:rPr>
          <w:rFonts w:ascii="Arial"/>
          <w:sz w:val="24"/>
          <w:szCs w:val="24"/>
          <w:rtl w:val="0"/>
          <w:lang w:val="en-US"/>
        </w:rPr>
        <w:t xml:space="preserve">between </w:t>
      </w:r>
      <w:r>
        <w:rPr>
          <w:rFonts w:ascii="Arial"/>
          <w:sz w:val="24"/>
          <w:szCs w:val="24"/>
          <w:rtl w:val="0"/>
        </w:rPr>
        <w:t xml:space="preserve">19 </w:t>
      </w:r>
      <w:r>
        <w:rPr>
          <w:rFonts w:ascii="Arial"/>
          <w:sz w:val="24"/>
          <w:szCs w:val="24"/>
          <w:rtl w:val="0"/>
          <w:lang w:val="en-US"/>
        </w:rPr>
        <w:t xml:space="preserve"> and </w:t>
      </w:r>
      <w:r>
        <w:rPr>
          <w:rFonts w:ascii="Arial"/>
          <w:sz w:val="24"/>
          <w:szCs w:val="24"/>
          <w:rtl w:val="0"/>
        </w:rPr>
        <w:t>54</w:t>
      </w:r>
      <w:r>
        <w:rPr>
          <w:rFonts w:ascii="Arial"/>
          <w:sz w:val="24"/>
          <w:szCs w:val="24"/>
          <w:rtl w:val="0"/>
          <w:lang w:val="en-US"/>
        </w:rPr>
        <w:t xml:space="preserve"> years of age</w:t>
      </w:r>
      <w:r>
        <w:rPr>
          <w:rFonts w:ascii="Arial"/>
          <w:sz w:val="24"/>
          <w:szCs w:val="24"/>
          <w:rtl w:val="0"/>
        </w:rPr>
        <w:t xml:space="preserve"> </w:t>
      </w:r>
      <w:r>
        <w:rPr>
          <w:rFonts w:ascii="Arial"/>
          <w:sz w:val="24"/>
          <w:szCs w:val="24"/>
          <w:rtl w:val="0"/>
          <w:lang w:val="en-US"/>
        </w:rPr>
        <w:t xml:space="preserve"> with </w:t>
      </w:r>
      <w:r>
        <w:rPr>
          <w:rFonts w:ascii="Arial"/>
          <w:sz w:val="24"/>
          <w:szCs w:val="24"/>
          <w:rtl w:val="0"/>
        </w:rPr>
        <w:t xml:space="preserve">lipohypertophy or lipoedema </w:t>
      </w:r>
      <w:r>
        <w:rPr>
          <w:rFonts w:ascii="Arial"/>
          <w:sz w:val="24"/>
          <w:szCs w:val="24"/>
          <w:rtl w:val="0"/>
          <w:lang w:val="en-US"/>
        </w:rPr>
        <w:t>were consecutively treated by a single surgeon.</w:t>
      </w:r>
      <w:r>
        <w:rPr>
          <w:rFonts w:ascii="Arial"/>
          <w:sz w:val="24"/>
          <w:szCs w:val="24"/>
          <w:rtl w:val="0"/>
        </w:rPr>
        <w:t xml:space="preserve"> </w:t>
      </w:r>
      <w:r>
        <w:rPr>
          <w:rFonts w:ascii="Arial"/>
          <w:sz w:val="24"/>
          <w:szCs w:val="24"/>
          <w:rtl w:val="0"/>
          <w:lang w:val="en-US"/>
        </w:rPr>
        <w:t xml:space="preserve">In </w:t>
      </w:r>
      <w:r>
        <w:rPr>
          <w:rFonts w:ascii="Arial"/>
          <w:sz w:val="24"/>
          <w:szCs w:val="24"/>
          <w:rtl w:val="0"/>
        </w:rPr>
        <w:t xml:space="preserve">six </w:t>
      </w:r>
      <w:r>
        <w:rPr>
          <w:rFonts w:ascii="Arial"/>
          <w:sz w:val="24"/>
          <w:szCs w:val="24"/>
          <w:rtl w:val="0"/>
          <w:lang w:val="fr-FR"/>
        </w:rPr>
        <w:t xml:space="preserve">patients, </w:t>
      </w:r>
      <w:r>
        <w:rPr>
          <w:rFonts w:ascii="Arial"/>
          <w:sz w:val="24"/>
          <w:szCs w:val="24"/>
          <w:rtl w:val="0"/>
        </w:rPr>
        <w:t xml:space="preserve">selective neurectomy </w:t>
      </w:r>
      <w:r>
        <w:rPr>
          <w:rFonts w:ascii="Arial"/>
          <w:b w:val="1"/>
          <w:bCs w:val="1"/>
          <w:color w:val="6a6a6a"/>
          <w:sz w:val="24"/>
          <w:szCs w:val="24"/>
          <w:rtl w:val="0"/>
        </w:rPr>
        <w:t xml:space="preserve"> </w:t>
      </w:r>
      <w:r>
        <w:rPr>
          <w:rFonts w:ascii="Arial"/>
          <w:sz w:val="24"/>
          <w:szCs w:val="24"/>
          <w:rtl w:val="0"/>
          <w:lang w:val="en-US"/>
        </w:rPr>
        <w:t>of the gastrocnemius</w:t>
      </w:r>
      <w:r>
        <w:rPr>
          <w:rFonts w:ascii="Arial"/>
          <w:sz w:val="24"/>
          <w:szCs w:val="24"/>
          <w:rtl w:val="0"/>
        </w:rPr>
        <w:t xml:space="preserve"> </w:t>
      </w:r>
      <w:r>
        <w:rPr>
          <w:rFonts w:ascii="Arial"/>
          <w:sz w:val="24"/>
          <w:szCs w:val="24"/>
          <w:rtl w:val="0"/>
          <w:lang w:val="en-US"/>
        </w:rPr>
        <w:t>and/or gastrocnemius muscle shaving were</w:t>
      </w:r>
      <w:r>
        <w:rPr>
          <w:rFonts w:hAnsi="Arial" w:hint="default"/>
          <w:sz w:val="24"/>
          <w:szCs w:val="24"/>
          <w:rtl w:val="0"/>
        </w:rPr>
        <w:t xml:space="preserve">  </w:t>
      </w:r>
      <w:r>
        <w:rPr>
          <w:rFonts w:ascii="Arial"/>
          <w:sz w:val="24"/>
          <w:szCs w:val="24"/>
          <w:rtl w:val="0"/>
          <w:lang w:val="en-US"/>
        </w:rPr>
        <w:t xml:space="preserve">used in conjunction with </w:t>
      </w:r>
      <w:r>
        <w:rPr>
          <w:rFonts w:ascii="Arial"/>
          <w:sz w:val="24"/>
          <w:szCs w:val="24"/>
          <w:rtl w:val="0"/>
        </w:rPr>
        <w:t xml:space="preserve">the </w:t>
      </w:r>
      <w:r>
        <w:rPr>
          <w:rFonts w:ascii="Arial"/>
          <w:sz w:val="24"/>
          <w:szCs w:val="24"/>
          <w:rtl w:val="0"/>
          <w:lang w:val="fr-FR"/>
        </w:rPr>
        <w:t>superdry liposuction 4D.</w:t>
      </w:r>
      <w:r>
        <w:rPr>
          <w:rFonts w:ascii="Arial"/>
          <w:sz w:val="24"/>
          <w:szCs w:val="24"/>
          <w:rtl w:val="0"/>
        </w:rPr>
        <w:t xml:space="preserve"> </w:t>
      </w:r>
      <w:r>
        <w:rPr>
          <w:rFonts w:ascii="Arial"/>
          <w:sz w:val="24"/>
          <w:szCs w:val="24"/>
          <w:rtl w:val="0"/>
          <w:lang w:val="en-US"/>
        </w:rPr>
        <w:t>Findings:There was significant improvement in the form, proportion and diameters of the extremities as well as a dramatic improvement of symptoms including pain, swelling.Patients showed significant reductions in spontaneous pain, sensitivity to pressure, feeling of tension, bruising, cosmetic impairment, and general impairment to quality of lif</w:t>
      </w:r>
      <w:r>
        <w:rPr>
          <w:rFonts w:ascii="Arial"/>
          <w:sz w:val="24"/>
          <w:szCs w:val="24"/>
          <w:rtl w:val="0"/>
        </w:rPr>
        <w:t>e. M</w:t>
      </w:r>
      <w:r>
        <w:rPr>
          <w:rFonts w:ascii="Arial"/>
          <w:sz w:val="24"/>
          <w:szCs w:val="24"/>
          <w:rtl w:val="0"/>
          <w:lang w:val="en-US"/>
        </w:rPr>
        <w:t xml:space="preserve">ean volume of aspirate was </w:t>
      </w:r>
      <w:r>
        <w:rPr>
          <w:rFonts w:ascii="Arial"/>
          <w:sz w:val="24"/>
          <w:szCs w:val="24"/>
          <w:rtl w:val="0"/>
        </w:rPr>
        <w:t>3000</w:t>
      </w:r>
      <w:r>
        <w:rPr>
          <w:rFonts w:hAnsi="Arial" w:hint="default"/>
          <w:sz w:val="24"/>
          <w:szCs w:val="24"/>
          <w:rtl w:val="0"/>
        </w:rPr>
        <w:t> </w:t>
      </w:r>
      <w:r>
        <w:rPr>
          <w:rFonts w:ascii="Arial"/>
          <w:sz w:val="24"/>
          <w:szCs w:val="24"/>
          <w:rtl w:val="0"/>
          <w:lang w:val="da-DK"/>
        </w:rPr>
        <w:t xml:space="preserve">mL (range </w:t>
      </w:r>
      <w:r>
        <w:rPr>
          <w:rFonts w:ascii="Arial"/>
          <w:sz w:val="24"/>
          <w:szCs w:val="24"/>
          <w:rtl w:val="0"/>
        </w:rPr>
        <w:t>750</w:t>
      </w:r>
      <w:r>
        <w:rPr>
          <w:rFonts w:ascii="Arial"/>
          <w:sz w:val="24"/>
          <w:szCs w:val="24"/>
          <w:rtl w:val="0"/>
        </w:rPr>
        <w:t>-</w:t>
      </w:r>
      <w:r>
        <w:rPr>
          <w:rFonts w:ascii="Arial"/>
          <w:sz w:val="24"/>
          <w:szCs w:val="24"/>
          <w:rtl w:val="0"/>
        </w:rPr>
        <w:t>6000</w:t>
      </w:r>
      <w:r>
        <w:rPr>
          <w:rFonts w:hAnsi="Arial" w:hint="default"/>
          <w:sz w:val="24"/>
          <w:szCs w:val="24"/>
          <w:rtl w:val="0"/>
        </w:rPr>
        <w:t> </w:t>
      </w:r>
      <w:r>
        <w:rPr>
          <w:rFonts w:ascii="Arial"/>
          <w:sz w:val="24"/>
          <w:szCs w:val="24"/>
          <w:rtl w:val="0"/>
        </w:rPr>
        <w:t>mL)</w:t>
      </w:r>
      <w:r>
        <w:rPr>
          <w:rFonts w:ascii="Arial"/>
          <w:sz w:val="24"/>
          <w:szCs w:val="24"/>
          <w:rtl w:val="0"/>
        </w:rPr>
        <w:t xml:space="preserve">. </w:t>
      </w:r>
      <w:r>
        <w:rPr>
          <w:rFonts w:ascii="Arial"/>
          <w:sz w:val="24"/>
          <w:szCs w:val="24"/>
          <w:rtl w:val="0"/>
          <w:lang w:val="en-US"/>
        </w:rPr>
        <w:t xml:space="preserve">None of the serious complications associated with </w:t>
      </w:r>
      <w:r>
        <w:rPr>
          <w:rFonts w:ascii="Arial"/>
          <w:sz w:val="24"/>
          <w:szCs w:val="24"/>
          <w:rtl w:val="0"/>
        </w:rPr>
        <w:t xml:space="preserve">liposuction  </w:t>
      </w:r>
      <w:r>
        <w:rPr>
          <w:rFonts w:ascii="Arial"/>
          <w:sz w:val="24"/>
          <w:szCs w:val="24"/>
          <w:rtl w:val="0"/>
          <w:lang w:val="en-US"/>
        </w:rPr>
        <w:t xml:space="preserve">were observed in </w:t>
      </w:r>
      <w:r>
        <w:rPr>
          <w:rFonts w:ascii="Arial"/>
          <w:sz w:val="24"/>
          <w:szCs w:val="24"/>
          <w:rtl w:val="0"/>
        </w:rPr>
        <w:t>this</w:t>
      </w:r>
      <w:r>
        <w:rPr>
          <w:rFonts w:ascii="Arial"/>
          <w:sz w:val="24"/>
          <w:szCs w:val="24"/>
          <w:rtl w:val="0"/>
          <w:lang w:val="en-US"/>
        </w:rPr>
        <w:t xml:space="preserve"> series.</w:t>
      </w:r>
      <w:r>
        <w:rPr>
          <w:rFonts w:ascii="Arial"/>
          <w:position w:val="8"/>
          <w:sz w:val="24"/>
          <w:szCs w:val="24"/>
          <w:rtl w:val="0"/>
        </w:rPr>
        <w:t xml:space="preserve"> </w:t>
      </w:r>
      <w:r>
        <w:rPr>
          <w:rFonts w:ascii="Arial"/>
          <w:sz w:val="24"/>
          <w:szCs w:val="24"/>
          <w:rtl w:val="0"/>
        </w:rPr>
        <w:t>Minor compl</w:t>
      </w:r>
      <w:r>
        <w:rPr>
          <w:rFonts w:ascii="Arial"/>
          <w:sz w:val="24"/>
          <w:szCs w:val="24"/>
          <w:rtl w:val="0"/>
        </w:rPr>
        <w:t xml:space="preserve">ications including </w:t>
      </w:r>
      <w:r>
        <w:rPr>
          <w:rFonts w:ascii="Arial"/>
          <w:sz w:val="24"/>
          <w:szCs w:val="24"/>
          <w:rtl w:val="0"/>
          <w:lang w:val="en-US"/>
        </w:rPr>
        <w:t>localized residual fat deposits</w:t>
      </w:r>
      <w:r>
        <w:rPr>
          <w:rFonts w:ascii="Arial"/>
          <w:sz w:val="24"/>
          <w:szCs w:val="24"/>
          <w:rtl w:val="0"/>
        </w:rPr>
        <w:t xml:space="preserve"> in  </w:t>
      </w:r>
      <w:r>
        <w:rPr>
          <w:rFonts w:ascii="Arial"/>
          <w:sz w:val="24"/>
          <w:szCs w:val="24"/>
          <w:rtl w:val="0"/>
        </w:rPr>
        <w:t xml:space="preserve"> </w:t>
      </w:r>
      <w:r>
        <w:rPr>
          <w:rFonts w:ascii="Arial"/>
          <w:sz w:val="24"/>
          <w:szCs w:val="24"/>
          <w:rtl w:val="0"/>
        </w:rPr>
        <w:t>4</w:t>
      </w:r>
      <w:r>
        <w:rPr>
          <w:rFonts w:ascii="Arial"/>
          <w:sz w:val="24"/>
          <w:szCs w:val="24"/>
          <w:rtl w:val="0"/>
          <w:lang w:val="en-US"/>
        </w:rPr>
        <w:t xml:space="preserve"> patients that required revision</w:t>
      </w:r>
      <w:r>
        <w:rPr>
          <w:rFonts w:ascii="Arial"/>
          <w:sz w:val="24"/>
          <w:szCs w:val="24"/>
          <w:rtl w:val="0"/>
        </w:rPr>
        <w:t xml:space="preserve"> under local anaesthesia and hyper pigmented scar in 4 patients were observed. </w:t>
      </w:r>
      <w:r>
        <w:rPr>
          <w:rFonts w:ascii="Arial"/>
          <w:sz w:val="24"/>
          <w:szCs w:val="24"/>
          <w:rtl w:val="0"/>
          <w:lang w:val="en-US"/>
        </w:rPr>
        <w:t>Conclusion &amp; Significance:</w:t>
      </w:r>
      <w:r>
        <w:rPr>
          <w:rFonts w:ascii="Arial"/>
          <w:sz w:val="24"/>
          <w:szCs w:val="24"/>
          <w:rtl w:val="0"/>
        </w:rPr>
        <w:t xml:space="preserve"> The superdry 4d liposuction i</w:t>
      </w:r>
      <w:r>
        <w:rPr>
          <w:rFonts w:ascii="Arial"/>
          <w:sz w:val="24"/>
          <w:szCs w:val="24"/>
          <w:rtl w:val="0"/>
          <w:lang w:val="en-US"/>
        </w:rPr>
        <w:t>s capable of becoming a gold standard</w:t>
      </w:r>
      <w:r>
        <w:rPr>
          <w:rFonts w:ascii="Arial"/>
          <w:sz w:val="24"/>
          <w:szCs w:val="24"/>
          <w:rtl w:val="0"/>
        </w:rPr>
        <w:t xml:space="preserve"> in the treatment of lower extremity lipohypertrophy and lipoedema. </w:t>
      </w:r>
      <w:r>
        <w:rPr>
          <w:rFonts w:ascii="Arial"/>
          <w:sz w:val="24"/>
          <w:szCs w:val="24"/>
          <w:rtl w:val="0"/>
          <w:lang w:val="en-US"/>
        </w:rPr>
        <w:t xml:space="preserve">However, it is a </w:t>
      </w:r>
      <w:r>
        <w:rPr>
          <w:rFonts w:ascii="Arial"/>
          <w:sz w:val="24"/>
          <w:szCs w:val="24"/>
          <w:rtl w:val="0"/>
        </w:rPr>
        <w:t xml:space="preserve">complicated </w:t>
      </w:r>
      <w:r>
        <w:rPr>
          <w:rFonts w:ascii="Arial"/>
          <w:sz w:val="24"/>
          <w:szCs w:val="24"/>
          <w:rtl w:val="0"/>
          <w:lang w:val="en-US"/>
        </w:rPr>
        <w:t xml:space="preserve">procedure </w:t>
      </w:r>
      <w:r>
        <w:rPr>
          <w:rFonts w:ascii="Arial"/>
          <w:sz w:val="24"/>
          <w:szCs w:val="24"/>
          <w:rtl w:val="0"/>
        </w:rPr>
        <w:t xml:space="preserve"> requiring  </w:t>
      </w:r>
      <w:r>
        <w:rPr>
          <w:rFonts w:ascii="Arial"/>
          <w:sz w:val="24"/>
          <w:szCs w:val="24"/>
          <w:rtl w:val="0"/>
          <w:lang w:val="en-US"/>
        </w:rPr>
        <w:t>an artistic eye</w:t>
      </w:r>
      <w:r>
        <w:rPr>
          <w:rFonts w:ascii="Arial"/>
          <w:sz w:val="24"/>
          <w:szCs w:val="24"/>
          <w:rtl w:val="0"/>
        </w:rPr>
        <w:t xml:space="preserve"> and a </w:t>
      </w:r>
      <w:r>
        <w:rPr>
          <w:rFonts w:ascii="Arial"/>
          <w:sz w:val="24"/>
          <w:szCs w:val="24"/>
          <w:rtl w:val="0"/>
          <w:lang w:val="en-US"/>
        </w:rPr>
        <w:t xml:space="preserve">good judgment of </w:t>
      </w:r>
      <w:r>
        <w:rPr>
          <w:rFonts w:ascii="Arial"/>
          <w:sz w:val="24"/>
          <w:szCs w:val="24"/>
          <w:rtl w:val="0"/>
        </w:rPr>
        <w:t xml:space="preserve"> leg curvatures</w:t>
      </w:r>
      <w:r>
        <w:rPr>
          <w:rFonts w:ascii="Arial"/>
          <w:sz w:val="24"/>
          <w:szCs w:val="24"/>
          <w:rtl w:val="0"/>
        </w:rPr>
        <w:t xml:space="preserve"> </w:t>
      </w:r>
      <w:r>
        <w:rPr>
          <w:rFonts w:ascii="Arial"/>
          <w:sz w:val="24"/>
          <w:szCs w:val="24"/>
          <w:rtl w:val="0"/>
        </w:rPr>
        <w:t xml:space="preserve"> </w:t>
      </w:r>
      <w:r>
        <w:rPr>
          <w:rFonts w:ascii="Arial"/>
          <w:sz w:val="24"/>
          <w:szCs w:val="24"/>
          <w:rtl w:val="0"/>
          <w:lang w:val="en-US"/>
        </w:rPr>
        <w:t xml:space="preserve">that is appropriate only for highly experienced surgeons. </w:t>
      </w:r>
    </w:p>
    <w:p>
      <w:pPr>
        <w:pStyle w:val="Default"/>
        <w:shd w:val="clear" w:color="auto" w:fill="feffff"/>
        <w:bidi w:val="0"/>
        <w:spacing w:after="2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efcea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Recent Publications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u w:color="4687ff"/>
          <w:rtl w:val="0"/>
        </w:rPr>
      </w:pPr>
      <w:hyperlink r:id="rId4" w:history="1">
        <w:r>
          <w:rPr>
            <w:rStyle w:val="Hyperlink.0"/>
            <w:rFonts w:ascii="Arial"/>
            <w:sz w:val="24"/>
            <w:szCs w:val="24"/>
            <w:u w:color="4687ff"/>
            <w:rtl w:val="0"/>
            <w:lang w:val="en-US"/>
          </w:rPr>
          <w:t>The Amazons and an analysis of breast mutilation from a plastic surgeon's perspective.</w:t>
        </w:r>
      </w:hyperlink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Karacalar A.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Plast Reconstr Surg. 2007 Mar;119(3):810-8.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u w:color="4687ff"/>
          <w:rtl w:val="0"/>
        </w:rPr>
      </w:pPr>
      <w:hyperlink r:id="rId5" w:history="1">
        <w:r>
          <w:rPr>
            <w:rStyle w:val="Hyperlink.1"/>
            <w:rFonts w:ascii="Arial"/>
            <w:sz w:val="24"/>
            <w:szCs w:val="24"/>
            <w:u w:color="4687ff"/>
            <w:rtl w:val="0"/>
            <w:lang w:val="en-US"/>
          </w:rPr>
          <w:t>Botulinum toxin for the treatment of temporomandibular joint disk disfigurement: clinical experience.</w:t>
        </w:r>
      </w:hyperlink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Karacalar A, Yilmaz N, Bilgici A, Ba</w:t>
      </w:r>
      <w:r>
        <w:rPr>
          <w:rFonts w:hAnsi="Arial" w:hint="default"/>
          <w:sz w:val="24"/>
          <w:szCs w:val="24"/>
          <w:rtl w:val="0"/>
        </w:rPr>
        <w:t xml:space="preserve">ş </w:t>
      </w:r>
      <w:r>
        <w:rPr>
          <w:rFonts w:ascii="Arial"/>
          <w:sz w:val="24"/>
          <w:szCs w:val="24"/>
          <w:rtl w:val="0"/>
        </w:rPr>
        <w:t>B, Akan H.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  <w:lang w:val="en-US"/>
        </w:rPr>
        <w:t>J Craniofac Surg. 2005 May;16(3):476-81.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u w:color="4687ff"/>
          <w:rtl w:val="0"/>
        </w:rPr>
      </w:pPr>
      <w:hyperlink r:id="rId6" w:history="1">
        <w:r>
          <w:rPr>
            <w:rStyle w:val="Hyperlink.2"/>
            <w:rFonts w:ascii="Arial"/>
            <w:sz w:val="24"/>
            <w:szCs w:val="24"/>
            <w:u w:color="4687ff"/>
            <w:rtl w:val="0"/>
            <w:lang w:val="en-US"/>
          </w:rPr>
          <w:t>A perichondrial flap for functional purposes in rhinoplasty.</w:t>
        </w:r>
      </w:hyperlink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Karacalar A, Korkmaz A, I</w:t>
      </w:r>
      <w:r>
        <w:rPr>
          <w:rFonts w:hAnsi="Arial" w:hint="default"/>
          <w:sz w:val="24"/>
          <w:szCs w:val="24"/>
          <w:rtl w:val="0"/>
        </w:rPr>
        <w:t>ç</w:t>
      </w:r>
      <w:r>
        <w:rPr>
          <w:rFonts w:ascii="Arial"/>
          <w:sz w:val="24"/>
          <w:szCs w:val="24"/>
          <w:rtl w:val="0"/>
        </w:rPr>
        <w:t>ten N.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  <w:lang w:val="en-US"/>
        </w:rPr>
        <w:t>Aesthetic Plast Surg. 2005 Jul-Aug;29(4):256-60.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PMID: 10987500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u w:color="4687ff"/>
          <w:rtl w:val="0"/>
        </w:rPr>
      </w:pPr>
      <w:hyperlink r:id="rId7" w:history="1">
        <w:r>
          <w:rPr>
            <w:rStyle w:val="Hyperlink.3"/>
            <w:rFonts w:ascii="Arial"/>
            <w:sz w:val="24"/>
            <w:szCs w:val="24"/>
            <w:u w:color="4687ff"/>
            <w:rtl w:val="0"/>
            <w:lang w:val="en-US"/>
          </w:rPr>
          <w:t>Compensatory brow asymmetry: anatomic study and clinical experience.</w:t>
        </w:r>
      </w:hyperlink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Karacalar A, Korkmaz A, Kale A, Kopuz C.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  <w:lang w:val="en-US"/>
        </w:rPr>
        <w:t>Aesthetic Plast Surg. 2005 Mar-Apr;29(2):119-23. Epub 2005 Apr 21.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u w:color="4687ff"/>
          <w:rtl w:val="0"/>
        </w:rPr>
      </w:pPr>
      <w:hyperlink r:id="rId8" w:history="1">
        <w:r>
          <w:rPr>
            <w:rStyle w:val="Hyperlink.4"/>
            <w:rFonts w:ascii="Arial"/>
            <w:sz w:val="24"/>
            <w:szCs w:val="24"/>
            <w:u w:color="4687ff"/>
            <w:rtl w:val="0"/>
            <w:lang w:val="en-US"/>
          </w:rPr>
          <w:t>Spontaneous recanalization of the divided lactiferous duct in the rat.</w:t>
        </w:r>
      </w:hyperlink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Karacalar A, Orak I, Ayd</w:t>
      </w:r>
      <w:r>
        <w:rPr>
          <w:rFonts w:hAnsi="Arial" w:hint="default"/>
          <w:sz w:val="24"/>
          <w:szCs w:val="24"/>
          <w:rtl w:val="0"/>
        </w:rPr>
        <w:t>ý</w:t>
      </w:r>
      <w:r>
        <w:rPr>
          <w:rFonts w:ascii="Arial"/>
          <w:sz w:val="24"/>
          <w:szCs w:val="24"/>
          <w:rtl w:val="0"/>
        </w:rPr>
        <w:t>n O, Yaln T.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Ann Plast Surg. 2005 Feb;54(2):196-200.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u w:color="4687ff"/>
          <w:rtl w:val="0"/>
        </w:rPr>
      </w:pPr>
      <w:hyperlink r:id="rId9" w:history="1">
        <w:r>
          <w:rPr>
            <w:rStyle w:val="Hyperlink.5"/>
            <w:rFonts w:ascii="Arial"/>
            <w:sz w:val="24"/>
            <w:szCs w:val="24"/>
            <w:u w:color="4687ff"/>
            <w:rtl w:val="0"/>
            <w:lang w:val="en-US"/>
          </w:rPr>
          <w:t>A pedicle-lengthening technique for free latissimus dorsi muscle flaps: the "Y-V-I" principle.</w:t>
        </w:r>
      </w:hyperlink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Karacalar A, Demir A, G</w:t>
      </w:r>
      <w:r>
        <w:rPr>
          <w:rFonts w:hAnsi="Arial" w:hint="default"/>
          <w:sz w:val="24"/>
          <w:szCs w:val="24"/>
          <w:rtl w:val="0"/>
        </w:rPr>
        <w:t>ü</w:t>
      </w:r>
      <w:r>
        <w:rPr>
          <w:rFonts w:ascii="Arial"/>
          <w:sz w:val="24"/>
          <w:szCs w:val="24"/>
          <w:rtl w:val="0"/>
          <w:lang w:val="de-DE"/>
        </w:rPr>
        <w:t>neren E.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J Reconstr Microsurg. 2005 Apr;21(3):173-8.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u w:color="4687ff"/>
          <w:rtl w:val="0"/>
        </w:rPr>
      </w:pPr>
      <w:hyperlink r:id="rId10" w:history="1">
        <w:r>
          <w:rPr>
            <w:rStyle w:val="Hyperlink.6"/>
            <w:rFonts w:ascii="Arial"/>
            <w:sz w:val="24"/>
            <w:szCs w:val="24"/>
            <w:u w:color="4687ff"/>
            <w:rtl w:val="0"/>
            <w:lang w:val="en-US"/>
          </w:rPr>
          <w:t>Subcision surgery for the correction of ear deformities.</w:t>
        </w:r>
      </w:hyperlink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Karacalar A, Demir A, Yildiz L.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  <w:lang w:val="en-US"/>
        </w:rPr>
        <w:t>Aesthetic Plast Surg. 2004 Jul-Aug;28(4):239-44.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u w:color="4687ff"/>
          <w:rtl w:val="0"/>
        </w:rPr>
      </w:pPr>
      <w:hyperlink r:id="rId11" w:history="1">
        <w:r>
          <w:rPr>
            <w:rStyle w:val="Hyperlink.7"/>
            <w:rFonts w:ascii="Arial"/>
            <w:sz w:val="24"/>
            <w:szCs w:val="24"/>
            <w:u w:color="4687ff"/>
            <w:rtl w:val="0"/>
            <w:lang w:val="fr-FR"/>
          </w:rPr>
          <w:t>No-touch technique for autologous fat harvesting.</w:t>
        </w:r>
      </w:hyperlink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Karacalar A, Orak I, Kaplan S, Yildirim S.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  <w:lang w:val="en-US"/>
        </w:rPr>
        <w:t>Aesthetic Plast Surg. 2004 May-Jun;28(3):158-64.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hyperlink r:id="rId12" w:history="1">
        <w:r>
          <w:rPr>
            <w:rStyle w:val="Hyperlink.8"/>
            <w:rFonts w:ascii="Arial"/>
            <w:sz w:val="24"/>
            <w:szCs w:val="24"/>
            <w:rtl w:val="0"/>
            <w:lang w:val="en-US"/>
          </w:rPr>
          <w:t>Liposuction of the kneecap area under tourniquet: a superdry procedure.</w:t>
        </w:r>
      </w:hyperlink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</w:rPr>
        <w:t>Karacalar A, Ozcan M.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  <w:lang w:val="en-US"/>
        </w:rPr>
        <w:t>Aesthetic Plast Surg. 1998 Nov-Dec;22(6):408-11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cs="Arial" w:hAnsi="Arial" w:eastAsia="Arial"/>
          <w:sz w:val="24"/>
          <w:szCs w:val="24"/>
          <w:rtl w:val="0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217513</wp:posOffset>
            </wp:positionV>
            <wp:extent cx="6120057" cy="3867933"/>
            <wp:effectExtent l="0" t="0" r="0" b="0"/>
            <wp:wrapThrough wrapText="bothSides" distL="152400" distR="152400">
              <wp:wrapPolygon edited="1">
                <wp:start x="0" y="0"/>
                <wp:lineTo x="0" y="21627"/>
                <wp:lineTo x="21600" y="21627"/>
                <wp:lineTo x="21600" y="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reen Shot 2018-01-07 at 23.04.18.png"/>
                    <pic:cNvPicPr/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38679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u w:color="4687ff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  <w:lang w:val="fr-FR"/>
        </w:rPr>
        <w:t>Biography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/>
          <w:sz w:val="24"/>
          <w:szCs w:val="24"/>
          <w:rtl w:val="0"/>
          <w:lang w:val="en-US"/>
        </w:rPr>
        <w:t>Dr. Karacalar has over 20 years of experience as a plastic &amp; aesthetic surgeon specializing in body</w:t>
      </w:r>
      <w:r>
        <w:rPr>
          <w:rFonts w:hAnsi="Arial" w:hint="default"/>
          <w:sz w:val="24"/>
          <w:szCs w:val="24"/>
          <w:rtl w:val="0"/>
        </w:rPr>
        <w:t xml:space="preserve">  </w:t>
      </w:r>
      <w:r>
        <w:rPr>
          <w:rFonts w:ascii="Arial"/>
          <w:sz w:val="24"/>
          <w:szCs w:val="24"/>
          <w:rtl w:val="0"/>
          <w:lang w:val="en-US"/>
        </w:rPr>
        <w:t>and lower extremity contouring surgery. He has extensive experience with</w:t>
      </w:r>
      <w:r>
        <w:rPr>
          <w:rFonts w:hAnsi="Arial" w:hint="default"/>
          <w:sz w:val="24"/>
          <w:szCs w:val="24"/>
          <w:rtl w:val="0"/>
        </w:rPr>
        <w:t xml:space="preserve">  </w:t>
      </w:r>
      <w:r>
        <w:rPr>
          <w:rFonts w:ascii="Arial"/>
          <w:sz w:val="24"/>
          <w:szCs w:val="24"/>
          <w:rtl w:val="0"/>
          <w:lang w:val="en-US"/>
        </w:rPr>
        <w:t>lipoedema treatment. He uses various art fields to develop his</w:t>
      </w:r>
      <w:r>
        <w:rPr>
          <w:rFonts w:hAnsi="Arial" w:hint="default"/>
          <w:sz w:val="24"/>
          <w:szCs w:val="24"/>
          <w:rtl w:val="0"/>
        </w:rPr>
        <w:t xml:space="preserve">  </w:t>
      </w:r>
      <w:r>
        <w:rPr>
          <w:rFonts w:ascii="Arial"/>
          <w:sz w:val="24"/>
          <w:szCs w:val="24"/>
          <w:rtl w:val="0"/>
          <w:lang w:val="en-US"/>
        </w:rPr>
        <w:t>aesthetic sense and judgment , including painting, sculpture and photography.</w:t>
      </w:r>
      <w:r>
        <w:rPr>
          <w:rFonts w:hAnsi="Arial" w:hint="default"/>
          <w:sz w:val="24"/>
          <w:szCs w:val="24"/>
          <w:rtl w:val="0"/>
        </w:rPr>
        <w:t> </w:t>
      </w:r>
    </w:p>
    <w:p>
      <w:pPr>
        <w:pStyle w:val="Default"/>
        <w:shd w:val="clear" w:color="auto" w:fill="feffff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Default"/>
        <w:shd w:val="clear" w:color="auto" w:fill="feffff"/>
        <w:bidi w:val="0"/>
        <w:ind w:left="0" w:right="0" w:firstLine="0"/>
        <w:jc w:val="left"/>
        <w:rPr>
          <w:rtl w:val="0"/>
        </w:rPr>
      </w:pPr>
      <w:r>
        <w:rPr>
          <w:rFonts w:ascii="Arial"/>
          <w:sz w:val="24"/>
          <w:szCs w:val="24"/>
          <w:rtl w:val="0"/>
          <w:lang w:val="sv-SE"/>
        </w:rPr>
        <w:t>e-mail:drkaracalar@</w:t>
      </w:r>
      <w:hyperlink r:id="rId14" w:history="1">
        <w:r>
          <w:rPr>
            <w:rStyle w:val="Hyperlink.9"/>
            <w:rFonts w:ascii="Arial"/>
            <w:sz w:val="24"/>
            <w:szCs w:val="24"/>
            <w:u w:color="4687ff"/>
            <w:rtl w:val="0"/>
          </w:rPr>
          <w:t>gmail.com</w:t>
        </w:r>
      </w:hyperlink>
      <w:r>
        <w:rPr>
          <w:rFonts w:ascii="Arial" w:cs="Arial" w:hAnsi="Arial" w:eastAsia="Arial"/>
          <w:sz w:val="24"/>
          <w:szCs w:val="24"/>
          <w:rtl w:val="0"/>
        </w:rPr>
      </w:r>
    </w:p>
    <w:sectPr>
      <w:headerReference w:type="default" r:id="rId15"/>
      <w:footerReference w:type="default" r:id="rId1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character" w:styleId="Hyperlink.0">
    <w:name w:val="Hyperlink.0"/>
    <w:basedOn w:val="Hyperlink"/>
    <w:next w:val="Hyperlink.0"/>
    <w:rPr/>
  </w:style>
  <w:style w:type="character" w:styleId="Hyperlink.1">
    <w:name w:val="Hyperlink.1"/>
    <w:basedOn w:val="Hyperlink"/>
    <w:next w:val="Hyperlink.1"/>
    <w:rPr/>
  </w:style>
  <w:style w:type="character" w:styleId="Hyperlink.2">
    <w:name w:val="Hyperlink.2"/>
    <w:basedOn w:val="Hyperlink"/>
    <w:next w:val="Hyperlink.2"/>
    <w:rPr/>
  </w:style>
  <w:style w:type="character" w:styleId="Hyperlink.3">
    <w:name w:val="Hyperlink.3"/>
    <w:basedOn w:val="Hyperlink"/>
    <w:next w:val="Hyperlink.3"/>
    <w:rPr/>
  </w:style>
  <w:style w:type="character" w:styleId="Hyperlink.4">
    <w:name w:val="Hyperlink.4"/>
    <w:basedOn w:val="Hyperlink"/>
    <w:next w:val="Hyperlink.4"/>
    <w:rPr/>
  </w:style>
  <w:style w:type="character" w:styleId="Hyperlink.5">
    <w:name w:val="Hyperlink.5"/>
    <w:basedOn w:val="Hyperlink"/>
    <w:next w:val="Hyperlink.5"/>
    <w:rPr/>
  </w:style>
  <w:style w:type="character" w:styleId="Hyperlink.6">
    <w:name w:val="Hyperlink.6"/>
    <w:basedOn w:val="Hyperlink"/>
    <w:next w:val="Hyperlink.6"/>
    <w:rPr/>
  </w:style>
  <w:style w:type="character" w:styleId="Hyperlink.7">
    <w:name w:val="Hyperlink.7"/>
    <w:basedOn w:val="Hyperlink"/>
    <w:next w:val="Hyperlink.7"/>
    <w:rPr/>
  </w:style>
  <w:style w:type="character" w:styleId="Hyperlink.8">
    <w:name w:val="Hyperlink.8"/>
    <w:basedOn w:val="Hyperlink"/>
    <w:next w:val="Hyperlink.8"/>
    <w:rPr/>
  </w:style>
  <w:style w:type="character" w:styleId="None">
    <w:name w:val="None"/>
  </w:style>
  <w:style w:type="character" w:styleId="Hyperlink.9">
    <w:name w:val="Hyperlink.9"/>
    <w:basedOn w:val="None"/>
    <w:next w:val="Hyperlink.9"/>
    <w:rPr>
      <w:u w:color="4687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yperlink" Target="https://www.ncbi.nlm.nih.gov/pubmed/17312482" TargetMode="External"/><Relationship Id="rId5" Type="http://schemas.openxmlformats.org/officeDocument/2006/relationships/hyperlink" Target="https://www.ncbi.nlm.nih.gov/pubmed/15915120" TargetMode="External"/><Relationship Id="rId6" Type="http://schemas.openxmlformats.org/officeDocument/2006/relationships/hyperlink" Target="https://www.ncbi.nlm.nih.gov/pubmed/16044238" TargetMode="External"/><Relationship Id="rId7" Type="http://schemas.openxmlformats.org/officeDocument/2006/relationships/hyperlink" Target="https://www.ncbi.nlm.nih.gov/pubmed/15821968" TargetMode="External"/><Relationship Id="rId8" Type="http://schemas.openxmlformats.org/officeDocument/2006/relationships/hyperlink" Target="https://www.ncbi.nlm.nih.gov/pubmed/15655473" TargetMode="External"/><Relationship Id="rId9" Type="http://schemas.openxmlformats.org/officeDocument/2006/relationships/hyperlink" Target="https://www.ncbi.nlm.nih.gov/pubmed/15880296" TargetMode="External"/><Relationship Id="rId10" Type="http://schemas.openxmlformats.org/officeDocument/2006/relationships/hyperlink" Target="https://www.ncbi.nlm.nih.gov/pubmed/15599539" TargetMode="External"/><Relationship Id="rId11" Type="http://schemas.openxmlformats.org/officeDocument/2006/relationships/hyperlink" Target="https://www.ncbi.nlm.nih.gov/pubmed/15383884" TargetMode="External"/><Relationship Id="rId12" Type="http://schemas.openxmlformats.org/officeDocument/2006/relationships/hyperlink" Target="https://www.ncbi.nlm.nih.gov/pubmed/9852172" TargetMode="External"/><Relationship Id="rId13" Type="http://schemas.openxmlformats.org/officeDocument/2006/relationships/image" Target="media/image1.png"/><Relationship Id="rId14" Type="http://schemas.openxmlformats.org/officeDocument/2006/relationships/hyperlink" Target="http://gmail.com/" TargetMode="Externa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