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12B78" w14:textId="77777777" w:rsidR="00722B3A" w:rsidRDefault="00722B3A" w:rsidP="00494130">
      <w:pPr>
        <w:pStyle w:val="Heading1"/>
        <w:spacing w:before="170"/>
        <w:ind w:left="0"/>
        <w:rPr>
          <w:color w:val="337AB7"/>
        </w:rPr>
      </w:pPr>
    </w:p>
    <w:p w14:paraId="02FEFCD2" w14:textId="0B35B093" w:rsidR="009937FB" w:rsidRPr="009937FB" w:rsidRDefault="002B2808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Local Anesthetics for Neuroprotection Prior to Nerve Transection</w:t>
      </w:r>
    </w:p>
    <w:p w14:paraId="1716A540" w14:textId="77777777" w:rsidR="005973B9" w:rsidRDefault="00D521E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Nicole L Miller BS</w:t>
      </w:r>
      <w:r w:rsidR="005973B9">
        <w:rPr>
          <w:rFonts w:ascii="Arial"/>
        </w:rPr>
        <w:t xml:space="preserve">, </w:t>
      </w:r>
      <w:r>
        <w:rPr>
          <w:rFonts w:ascii="Arial"/>
        </w:rPr>
        <w:t>Florida International University Herbert Wertheim College of Medicine</w:t>
      </w:r>
      <w:r w:rsidR="005973B9">
        <w:rPr>
          <w:rFonts w:ascii="Arial"/>
        </w:rPr>
        <w:t xml:space="preserve">, USA </w:t>
      </w:r>
    </w:p>
    <w:p w14:paraId="5ACE4025" w14:textId="77777777" w:rsidR="00D521E4" w:rsidRDefault="00DC6B0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Harvey W. Chim MD, University of Florida School of Medicine, USA</w:t>
      </w:r>
    </w:p>
    <w:p w14:paraId="357FB89D" w14:textId="77777777" w:rsidR="00DC6B0B" w:rsidRDefault="00DC6B0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Christopher J. Salgado MD, University of Miami School of Medicine, USA </w:t>
      </w:r>
    </w:p>
    <w:p w14:paraId="6FC23232" w14:textId="77777777" w:rsidR="00AE3E37" w:rsidRDefault="00AE3E37">
      <w:pPr>
        <w:rPr>
          <w:rFonts w:ascii="Arial"/>
          <w:sz w:val="21"/>
        </w:rPr>
      </w:pPr>
    </w:p>
    <w:p w14:paraId="008401AA" w14:textId="77777777" w:rsidR="00EF3A6A" w:rsidRDefault="00EF3A6A">
      <w:pPr>
        <w:rPr>
          <w:rFonts w:ascii="Arial"/>
          <w:sz w:val="21"/>
        </w:rPr>
        <w:sectPr w:rsidR="00EF3A6A" w:rsidSect="009937FB">
          <w:headerReference w:type="default" r:id="rId8"/>
          <w:footerReference w:type="default" r:id="rId9"/>
          <w:type w:val="continuous"/>
          <w:pgSz w:w="11910" w:h="16840"/>
          <w:pgMar w:top="721" w:right="600" w:bottom="840" w:left="620" w:header="541" w:footer="642" w:gutter="0"/>
          <w:cols w:space="720"/>
        </w:sectPr>
      </w:pPr>
    </w:p>
    <w:p w14:paraId="080C8A66" w14:textId="77777777" w:rsidR="00D521E4" w:rsidRDefault="00A9710C" w:rsidP="00DC6B0B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26319049" w14:textId="39134B6A" w:rsidR="00D521E4" w:rsidRPr="0000710D" w:rsidRDefault="00D521E4" w:rsidP="00D521E4">
      <w:pPr>
        <w:rPr>
          <w:rFonts w:ascii="Arial" w:hAnsi="Arial" w:cs="Arial"/>
          <w:sz w:val="20"/>
          <w:szCs w:val="20"/>
        </w:rPr>
      </w:pPr>
      <w:r w:rsidRPr="0000710D">
        <w:rPr>
          <w:rFonts w:ascii="Arial" w:hAnsi="Arial" w:cs="Arial"/>
          <w:sz w:val="20"/>
          <w:szCs w:val="20"/>
        </w:rPr>
        <w:t xml:space="preserve">Following coaptation of peripheral nerves in reconstruction, multiple limitations exist in the regeneration process. Lidocaine may serve as a neuroprotectant prior to nerve transection through inhibition of calcium influx and thus preservation of donor axons. The usefulness of this local anesthetic as a neuroprotective agent </w:t>
      </w:r>
      <w:r w:rsidR="00AD2D6E" w:rsidRPr="0000710D">
        <w:rPr>
          <w:rFonts w:ascii="Arial" w:hAnsi="Arial" w:cs="Arial"/>
          <w:sz w:val="20"/>
          <w:szCs w:val="20"/>
        </w:rPr>
        <w:t>was</w:t>
      </w:r>
      <w:r w:rsidRPr="0000710D">
        <w:rPr>
          <w:rFonts w:ascii="Arial" w:hAnsi="Arial" w:cs="Arial"/>
          <w:sz w:val="20"/>
          <w:szCs w:val="20"/>
        </w:rPr>
        <w:t xml:space="preserve"> investigated in a rat sciatic nerve model.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The sciatic nerves of 41 Sprague-Dawley 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were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injected with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normal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saline (n = 9)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, 1%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 (n = 11)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, 1%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w/ 10%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calcium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gluconate (CG) (n = 11)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and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10%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calcium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gluconate (n = 10)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. Following injections, the sciatic nerves were transected, labeled with Fluorogold nerve tracer and microsurgically anastomosed.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Animals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underwent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behavioral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testing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  <w:shd w:val="clear" w:color="auto" w:fill="FFFFFF"/>
        </w:rPr>
        <w:t xml:space="preserve">preoperatively and postoperatively at 8 or 12 weeks.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Walking track analysis and gridwalk testing demonstrated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enhanced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recovery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of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locomotion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in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that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were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administered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prior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to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nerve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transection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compared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to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other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groups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>.</w:t>
      </w:r>
      <w:r w:rsidRPr="0000710D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At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8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weeks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and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w/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CG-treated 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had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significantly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 xml:space="preserve">improved Sciatic Functional Index 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>(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SFI) scores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compared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to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saline-treated 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00710D">
        <w:rPr>
          <w:rFonts w:ascii="Arial" w:eastAsia="Calibri" w:hAnsi="Arial" w:cs="Arial"/>
          <w:i/>
          <w:color w:val="000000" w:themeColor="text1"/>
          <w:sz w:val="20"/>
          <w:szCs w:val="20"/>
        </w:rPr>
        <w:t>p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&lt; 0.05).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At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12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weeks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and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Lidocaine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w/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CG-treated 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had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significantly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improved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SFI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scores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compared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to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saline and CG-treated rats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00710D">
        <w:rPr>
          <w:rFonts w:ascii="Arial" w:eastAsia="Calibri" w:hAnsi="Arial" w:cs="Arial"/>
          <w:i/>
          <w:color w:val="000000" w:themeColor="text1"/>
          <w:sz w:val="20"/>
          <w:szCs w:val="20"/>
        </w:rPr>
        <w:t>p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&lt; 0.05).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Gridwalk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analysis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of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foot slip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errors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0710D">
        <w:rPr>
          <w:rFonts w:ascii="Arial" w:eastAsia="Calibri" w:hAnsi="Arial" w:cs="Arial"/>
          <w:color w:val="000000" w:themeColor="text1"/>
          <w:sz w:val="20"/>
          <w:szCs w:val="20"/>
        </w:rPr>
        <w:t>indicated</w:t>
      </w:r>
      <w:r w:rsidRPr="0000710D">
        <w:rPr>
          <w:rFonts w:ascii="Arial" w:hAnsi="Arial" w:cs="Arial"/>
          <w:color w:val="000000" w:themeColor="text1"/>
          <w:sz w:val="20"/>
          <w:szCs w:val="20"/>
        </w:rPr>
        <w:t xml:space="preserve"> Lidocaine-treated rats had significantly lower mean foot slips compared to saline-treated rats (p &lt; 0.05), and Lidocaine w/ CG rats had significantly lower mean foot slips compared to saline, CG, and Lidocaine-treated rats (p &lt; 0.05). At 12 weeks, Lidocaine-treated rats had the lowest level of mean foot slips, which was significantly less than that of Lidocaine w/ CG-treated rats (p &lt; 0.05). </w:t>
      </w:r>
    </w:p>
    <w:p w14:paraId="22A8777E" w14:textId="17EFE98A" w:rsidR="00EF3A6A" w:rsidRDefault="00D521E4" w:rsidP="00D521E4">
      <w:pPr>
        <w:rPr>
          <w:rFonts w:ascii="Arial" w:hAnsi="Arial" w:cs="Arial"/>
          <w:color w:val="000000" w:themeColor="text1"/>
          <w:sz w:val="20"/>
          <w:szCs w:val="20"/>
        </w:rPr>
      </w:pPr>
      <w:r w:rsidRPr="0000710D">
        <w:rPr>
          <w:rFonts w:ascii="Arial" w:hAnsi="Arial" w:cs="Arial"/>
          <w:color w:val="000000" w:themeColor="text1"/>
          <w:sz w:val="20"/>
          <w:szCs w:val="20"/>
        </w:rPr>
        <w:t>This study affirms that administration of Lidocaine prior to nerve transection is an eff</w:t>
      </w:r>
      <w:r w:rsidR="00EF3A6A">
        <w:rPr>
          <w:rFonts w:ascii="Arial" w:hAnsi="Arial" w:cs="Arial"/>
          <w:color w:val="000000" w:themeColor="text1"/>
          <w:sz w:val="20"/>
          <w:szCs w:val="20"/>
        </w:rPr>
        <w:t xml:space="preserve">ective intervention to preserve </w:t>
      </w:r>
    </w:p>
    <w:p w14:paraId="517528D2" w14:textId="5796E65B" w:rsidR="00AE3E37" w:rsidRDefault="00A9710C" w:rsidP="00EF3A6A">
      <w:pPr>
        <w:pStyle w:val="Heading3"/>
        <w:spacing w:before="74"/>
      </w:pPr>
      <w:r>
        <w:rPr>
          <w:color w:val="BF5A14"/>
        </w:rPr>
        <w:lastRenderedPageBreak/>
        <w:t>Image</w:t>
      </w:r>
    </w:p>
    <w:p w14:paraId="51334315" w14:textId="77777777" w:rsidR="00E82D04" w:rsidRDefault="0000710D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noProof/>
          <w:color w:val="BF5A14"/>
        </w:rPr>
        <w:drawing>
          <wp:inline distT="0" distB="0" distL="0" distR="0" wp14:anchorId="28B8F138" wp14:editId="4C753EA7">
            <wp:extent cx="1420018" cy="1382486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01-02 at 9.30.08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174" cy="138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b/>
          <w:noProof/>
          <w:sz w:val="16"/>
        </w:rPr>
        <w:drawing>
          <wp:inline distT="0" distB="0" distL="0" distR="0" wp14:anchorId="73FA6282" wp14:editId="33C3F017">
            <wp:extent cx="1404257" cy="1385454"/>
            <wp:effectExtent l="0" t="0" r="0" b="120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01-02 at 9.47.00 PM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3"/>
                    <a:stretch/>
                  </pic:blipFill>
                  <pic:spPr bwMode="auto">
                    <a:xfrm>
                      <a:off x="0" y="0"/>
                      <a:ext cx="1406847" cy="1388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4BD37" w14:textId="0B2CE872" w:rsidR="0000710D" w:rsidRDefault="00E82D04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1: Exposed right sciatic nerve of Sprague-Dawley rat </w:t>
      </w:r>
      <w:r w:rsidR="0070530D">
        <w:rPr>
          <w:rFonts w:ascii="Arial"/>
          <w:b/>
          <w:sz w:val="16"/>
        </w:rPr>
        <w:t>prior to transection</w:t>
      </w:r>
      <w:r>
        <w:rPr>
          <w:rFonts w:ascii="Arial"/>
          <w:b/>
          <w:sz w:val="16"/>
        </w:rPr>
        <w:t>. Figure 2: Exposed bilateral sciatic nerves duri</w:t>
      </w:r>
      <w:r w:rsidR="00942E89">
        <w:rPr>
          <w:rFonts w:ascii="Arial"/>
          <w:b/>
          <w:sz w:val="16"/>
        </w:rPr>
        <w:t>ng tissue</w:t>
      </w:r>
    </w:p>
    <w:p w14:paraId="0B32FCA5" w14:textId="61C97CEE" w:rsidR="00942E89" w:rsidRDefault="00942E89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Harvest following transcardial perfusion.</w:t>
      </w:r>
    </w:p>
    <w:p w14:paraId="16ABDEA0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A886DE6" w14:textId="481DCB25" w:rsidR="005973B9" w:rsidRDefault="0098464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Salgado CJ, Chim H, Chen HC</w:t>
      </w:r>
      <w:r w:rsidR="0023544B">
        <w:rPr>
          <w:sz w:val="18"/>
        </w:rPr>
        <w:t>, et al.</w:t>
      </w:r>
      <w:r>
        <w:rPr>
          <w:sz w:val="18"/>
        </w:rPr>
        <w:t xml:space="preserve"> (2016</w:t>
      </w:r>
      <w:r w:rsidR="005973B9">
        <w:rPr>
          <w:sz w:val="18"/>
        </w:rPr>
        <w:t>)</w:t>
      </w:r>
      <w:r w:rsidR="0023544B">
        <w:rPr>
          <w:sz w:val="18"/>
        </w:rPr>
        <w:t xml:space="preserve"> Immediated pedicled gracilis flap in radial forearm flap phalloplasty for transgender male patients to reduce urinary fistulas</w:t>
      </w:r>
      <w:r w:rsidR="005973B9" w:rsidRPr="005973B9">
        <w:rPr>
          <w:sz w:val="18"/>
        </w:rPr>
        <w:t xml:space="preserve">. </w:t>
      </w:r>
      <w:r w:rsidR="0023544B">
        <w:rPr>
          <w:sz w:val="18"/>
        </w:rPr>
        <w:t>J Plast Reconstr Aesthet Surg. 69 (11):1551-1557.</w:t>
      </w:r>
    </w:p>
    <w:p w14:paraId="3EECFF39" w14:textId="74286C9C" w:rsidR="005973B9" w:rsidRDefault="0023544B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Salgado CJ, Romanelli P, Chim H, et al. (2016</w:t>
      </w:r>
      <w:r w:rsidR="005973B9">
        <w:rPr>
          <w:sz w:val="18"/>
        </w:rPr>
        <w:t xml:space="preserve">) </w:t>
      </w:r>
      <w:r>
        <w:rPr>
          <w:sz w:val="18"/>
        </w:rPr>
        <w:t>A staging system for gluteal foreign body reaction to injectables</w:t>
      </w:r>
      <w:r w:rsidR="005973B9">
        <w:rPr>
          <w:sz w:val="18"/>
        </w:rPr>
        <w:t xml:space="preserve">. </w:t>
      </w:r>
      <w:r>
        <w:rPr>
          <w:sz w:val="18"/>
        </w:rPr>
        <w:t>J Plast Reconstr Aesthet Surg. 69 (8)</w:t>
      </w:r>
      <w:r w:rsidR="005973B9">
        <w:rPr>
          <w:sz w:val="18"/>
        </w:rPr>
        <w:t>:</w:t>
      </w:r>
      <w:r>
        <w:rPr>
          <w:sz w:val="18"/>
        </w:rPr>
        <w:t>e174-9</w:t>
      </w:r>
      <w:r w:rsidR="005973B9">
        <w:rPr>
          <w:sz w:val="18"/>
        </w:rPr>
        <w:t>.</w:t>
      </w:r>
    </w:p>
    <w:p w14:paraId="2508126A" w14:textId="20695062" w:rsidR="005973B9" w:rsidRDefault="00961D3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Chim H, Chieng LO, Salgado CJ, et al. (2015</w:t>
      </w:r>
      <w:r w:rsidR="005973B9">
        <w:rPr>
          <w:sz w:val="18"/>
        </w:rPr>
        <w:t>)</w:t>
      </w:r>
      <w:bookmarkStart w:id="0" w:name="_GoBack"/>
      <w:bookmarkEnd w:id="0"/>
      <w:r>
        <w:rPr>
          <w:sz w:val="18"/>
        </w:rPr>
        <w:t xml:space="preserve"> Reconstruction of open wounds as a complication of spinal surgery with flaps: a systematic review</w:t>
      </w:r>
      <w:r w:rsidR="005973B9">
        <w:rPr>
          <w:sz w:val="18"/>
        </w:rPr>
        <w:t xml:space="preserve">. </w:t>
      </w:r>
      <w:r>
        <w:rPr>
          <w:sz w:val="18"/>
        </w:rPr>
        <w:t>Neurosurg Focus 39 (4):E17</w:t>
      </w:r>
      <w:r w:rsidR="005973B9">
        <w:rPr>
          <w:sz w:val="18"/>
        </w:rPr>
        <w:t>.</w:t>
      </w:r>
    </w:p>
    <w:p w14:paraId="2A0ACFF2" w14:textId="2D232032" w:rsidR="005973B9" w:rsidRPr="00B75A60" w:rsidRDefault="00B75A60" w:rsidP="00B75A6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Chim H, Salgado CJ, Ng ZY, et al. (2015</w:t>
      </w:r>
      <w:r w:rsidR="005973B9">
        <w:rPr>
          <w:sz w:val="18"/>
        </w:rPr>
        <w:t xml:space="preserve">) </w:t>
      </w:r>
      <w:r>
        <w:rPr>
          <w:sz w:val="18"/>
        </w:rPr>
        <w:t>Soft tissue coverage of the mangled upper extremity. Semin Plast Surg. 29(1)48-54.</w:t>
      </w:r>
    </w:p>
    <w:p w14:paraId="7BD82EBB" w14:textId="301B13E8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70530D">
        <w:rPr>
          <w:rFonts w:ascii="Calibri" w:hAnsi="Calibri"/>
        </w:rPr>
        <w:t xml:space="preserve"> </w:t>
      </w:r>
      <w:r w:rsidR="00B75A60">
        <w:rPr>
          <w:rFonts w:ascii="Calibri" w:hAnsi="Calibri"/>
        </w:rPr>
        <w:t>Salgado CJ, Chim H, Wei FC, et al. (2013)</w:t>
      </w:r>
      <w:r>
        <w:rPr>
          <w:rFonts w:ascii="Calibri" w:hAnsi="Calibri"/>
        </w:rPr>
        <w:t xml:space="preserve"> </w:t>
      </w:r>
      <w:r w:rsidR="0070530D">
        <w:rPr>
          <w:rFonts w:ascii="Calibri" w:hAnsi="Calibri"/>
        </w:rPr>
        <w:t>Challenges in replantation of complex amputations. Semin Plast Surg. 27 (4):182-9</w:t>
      </w:r>
      <w:r>
        <w:rPr>
          <w:rFonts w:ascii="Calibri" w:hAnsi="Calibri"/>
        </w:rPr>
        <w:t>.</w:t>
      </w:r>
    </w:p>
    <w:p w14:paraId="2F85C88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A69A70C" w14:textId="5EC26C33" w:rsidR="00AE3E37" w:rsidRDefault="00EF3A6A">
      <w:pPr>
        <w:spacing w:line="200" w:lineRule="exact"/>
        <w:jc w:val="both"/>
        <w:rPr>
          <w:rFonts w:ascii="Calibri" w:hAnsi="Calibri"/>
        </w:rPr>
        <w:sectPr w:rsidR="00AE3E37" w:rsidSect="009937FB">
          <w:type w:val="continuous"/>
          <w:pgSz w:w="11910" w:h="16840"/>
          <w:pgMar w:top="721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28BA99F3" w14:textId="77777777" w:rsidR="00EF3A6A" w:rsidRDefault="00EF3A6A" w:rsidP="00EF3A6A">
      <w:pPr>
        <w:pStyle w:val="BodyText"/>
        <w:rPr>
          <w:rFonts w:ascii="Arial" w:hAnsi="Arial" w:cs="Arial"/>
          <w:sz w:val="20"/>
        </w:rPr>
      </w:pPr>
      <w:r w:rsidRPr="00EF3A6A">
        <w:rPr>
          <w:rFonts w:ascii="Arial" w:hAnsi="Arial" w:cs="Arial"/>
          <w:sz w:val="20"/>
        </w:rPr>
        <w:lastRenderedPageBreak/>
        <w:t>donor axons for planned nerve transfers and may have</w:t>
      </w:r>
    </w:p>
    <w:p w14:paraId="77142F88" w14:textId="77777777" w:rsidR="00EF3A6A" w:rsidRDefault="00EF3A6A" w:rsidP="00EF3A6A">
      <w:pPr>
        <w:pStyle w:val="BodyText"/>
        <w:rPr>
          <w:rFonts w:ascii="Arial" w:hAnsi="Arial" w:cs="Arial"/>
          <w:sz w:val="20"/>
        </w:rPr>
      </w:pPr>
      <w:r w:rsidRPr="00EF3A6A">
        <w:rPr>
          <w:rFonts w:ascii="Arial" w:hAnsi="Arial" w:cs="Arial"/>
          <w:sz w:val="20"/>
        </w:rPr>
        <w:t>potentially</w:t>
      </w:r>
      <w:r>
        <w:rPr>
          <w:rFonts w:ascii="Arial" w:hAnsi="Arial" w:cs="Arial"/>
          <w:sz w:val="20"/>
        </w:rPr>
        <w:t xml:space="preserve"> </w:t>
      </w:r>
      <w:r w:rsidRPr="00EF3A6A">
        <w:rPr>
          <w:rFonts w:ascii="Arial" w:hAnsi="Arial" w:cs="Arial"/>
          <w:sz w:val="20"/>
        </w:rPr>
        <w:t xml:space="preserve">beneficial clinical applications that warrant </w:t>
      </w:r>
    </w:p>
    <w:p w14:paraId="063289B8" w14:textId="19D77C0E" w:rsidR="0070530D" w:rsidRPr="00722B3A" w:rsidRDefault="00EF3A6A">
      <w:pPr>
        <w:pStyle w:val="BodyText"/>
        <w:rPr>
          <w:rFonts w:ascii="Arial" w:hAnsi="Arial" w:cs="Arial"/>
          <w:sz w:val="20"/>
        </w:rPr>
      </w:pPr>
      <w:r w:rsidRPr="00EF3A6A">
        <w:rPr>
          <w:rFonts w:ascii="Arial" w:hAnsi="Arial" w:cs="Arial"/>
          <w:sz w:val="20"/>
        </w:rPr>
        <w:t xml:space="preserve">further studies.  </w:t>
      </w:r>
    </w:p>
    <w:p w14:paraId="6EB66D2C" w14:textId="77777777" w:rsidR="00EF3A6A" w:rsidRDefault="00EF3A6A">
      <w:pPr>
        <w:pStyle w:val="BodyText"/>
        <w:rPr>
          <w:rFonts w:ascii="Calibri"/>
          <w:sz w:val="20"/>
        </w:rPr>
      </w:pPr>
    </w:p>
    <w:p w14:paraId="13CDF1B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C0C618C" wp14:editId="420715E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4C07749" w14:textId="1508752D" w:rsidR="00EF3A6A" w:rsidRPr="00EF3A6A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</w:t>
      </w:r>
      <w:r w:rsidR="00E82D04">
        <w:rPr>
          <w:noProof/>
        </w:rPr>
        <w:drawing>
          <wp:inline distT="0" distB="0" distL="0" distR="0" wp14:anchorId="394B3A74" wp14:editId="5D7F3CF9">
            <wp:extent cx="658490" cy="858376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8-01-02 at 9.49.06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41" cy="85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</w:p>
    <w:p w14:paraId="50FCCA5C" w14:textId="77777777" w:rsidR="0000710D" w:rsidRPr="0000710D" w:rsidRDefault="0000710D" w:rsidP="0000710D">
      <w:pPr>
        <w:rPr>
          <w:rFonts w:ascii="Times New Roman" w:hAnsi="Times New Roman" w:cs="Times New Roman"/>
          <w:sz w:val="16"/>
          <w:szCs w:val="16"/>
        </w:rPr>
      </w:pPr>
      <w:r w:rsidRPr="0000710D">
        <w:rPr>
          <w:rFonts w:ascii="Times New Roman" w:hAnsi="Times New Roman" w:cs="Times New Roman"/>
          <w:sz w:val="16"/>
          <w:szCs w:val="16"/>
        </w:rPr>
        <w:t xml:space="preserve">Nicole L. Miller is a medical student at the Florida International University Herbert Wertheim College of Medicine. She dedicated a full year at the Lois Pope Life Center at the University of Miami School of Medicine to study a new method to improve the viability of nerve transfers. The approach is clinically applicable and cost efficient for microsurgical reconstruction with donor nerves for peripheral nerve injuries. </w:t>
      </w:r>
    </w:p>
    <w:p w14:paraId="72C02971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44F72" w:rsidRPr="0000710D">
        <w:rPr>
          <w:rFonts w:ascii="Times New Roman" w:hAnsi="Times New Roman" w:cs="Times New Roman"/>
        </w:rPr>
        <w:t>nmill058@fiu.edu</w:t>
      </w:r>
    </w:p>
    <w:p w14:paraId="42B75440" w14:textId="029D5CD6" w:rsidR="00AE3E37" w:rsidRPr="00722B3A" w:rsidRDefault="00292ED9" w:rsidP="00722B3A">
      <w:pPr>
        <w:pStyle w:val="BodyText"/>
        <w:spacing w:before="2"/>
        <w:rPr>
          <w:rFonts w:ascii="Arial"/>
          <w:sz w:val="19"/>
        </w:rPr>
        <w:sectPr w:rsidR="00AE3E37" w:rsidRPr="00722B3A" w:rsidSect="009937FB">
          <w:type w:val="continuous"/>
          <w:pgSz w:w="11910" w:h="16840"/>
          <w:pgMar w:top="721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95EF773" wp14:editId="2B47E38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E280294" w14:textId="77777777" w:rsidR="00AE3E37" w:rsidRDefault="00AE3E37" w:rsidP="0070530D">
      <w:pPr>
        <w:pStyle w:val="BodyText"/>
        <w:spacing w:before="3"/>
        <w:rPr>
          <w:rFonts w:ascii="Minion Pro"/>
          <w:sz w:val="26"/>
        </w:rPr>
      </w:pPr>
    </w:p>
    <w:sectPr w:rsidR="00AE3E37" w:rsidSect="009937FB">
      <w:type w:val="continuous"/>
      <w:pgSz w:w="11910" w:h="16840"/>
      <w:pgMar w:top="721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06597" w14:textId="77777777" w:rsidR="00B75A60" w:rsidRDefault="00B75A60">
      <w:r>
        <w:separator/>
      </w:r>
    </w:p>
  </w:endnote>
  <w:endnote w:type="continuationSeparator" w:id="0">
    <w:p w14:paraId="17441C5C" w14:textId="77777777" w:rsidR="00B75A60" w:rsidRDefault="00B7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1C5F0" w14:textId="749E9675" w:rsidR="00B75A60" w:rsidRDefault="00B75A6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9D4B74" wp14:editId="344921B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3CDE2" w14:textId="77777777" w:rsidR="00B75A60" w:rsidRPr="005B3A56" w:rsidRDefault="00B75A6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F4E39A2" w14:textId="77777777" w:rsidR="00B75A60" w:rsidRPr="005B3A56" w:rsidRDefault="00B75A6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693CDE2" w14:textId="77777777" w:rsidR="00B75A60" w:rsidRPr="005B3A56" w:rsidRDefault="00B75A6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F4E39A2" w14:textId="77777777" w:rsidR="00B75A60" w:rsidRPr="005B3A56" w:rsidRDefault="00B75A6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F6E7A" w14:textId="77777777" w:rsidR="00B75A60" w:rsidRDefault="00B75A60">
      <w:r>
        <w:separator/>
      </w:r>
    </w:p>
  </w:footnote>
  <w:footnote w:type="continuationSeparator" w:id="0">
    <w:p w14:paraId="62E8B1DB" w14:textId="77777777" w:rsidR="00B75A60" w:rsidRDefault="00B75A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909C8" w14:textId="3D5800AE" w:rsidR="00B75A60" w:rsidRDefault="00B75A6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10D"/>
    <w:rsid w:val="000E2911"/>
    <w:rsid w:val="001263DF"/>
    <w:rsid w:val="001823CE"/>
    <w:rsid w:val="001F25C8"/>
    <w:rsid w:val="0023544B"/>
    <w:rsid w:val="002455EC"/>
    <w:rsid w:val="00292ED9"/>
    <w:rsid w:val="002B280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C243E"/>
    <w:rsid w:val="0070530D"/>
    <w:rsid w:val="00722B3A"/>
    <w:rsid w:val="00873DF0"/>
    <w:rsid w:val="008756E6"/>
    <w:rsid w:val="008A08B6"/>
    <w:rsid w:val="00942E89"/>
    <w:rsid w:val="00961D34"/>
    <w:rsid w:val="0098464A"/>
    <w:rsid w:val="009937FB"/>
    <w:rsid w:val="009B2D44"/>
    <w:rsid w:val="00A07E82"/>
    <w:rsid w:val="00A9710C"/>
    <w:rsid w:val="00AD2D6E"/>
    <w:rsid w:val="00AE3E37"/>
    <w:rsid w:val="00B21A57"/>
    <w:rsid w:val="00B44F72"/>
    <w:rsid w:val="00B75A60"/>
    <w:rsid w:val="00C33602"/>
    <w:rsid w:val="00CD6F55"/>
    <w:rsid w:val="00D521E4"/>
    <w:rsid w:val="00DC6B0B"/>
    <w:rsid w:val="00DE3104"/>
    <w:rsid w:val="00E26B10"/>
    <w:rsid w:val="00E82D04"/>
    <w:rsid w:val="00EF3A6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F555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567</Words>
  <Characters>3234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Nicole Miller</cp:lastModifiedBy>
  <cp:revision>2</cp:revision>
  <dcterms:created xsi:type="dcterms:W3CDTF">2018-01-03T03:25:00Z</dcterms:created>
  <dcterms:modified xsi:type="dcterms:W3CDTF">2018-01-03T03:25:00Z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