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332" w:rsidRPr="0040101C" w:rsidRDefault="00EC5332" w:rsidP="00EC5332">
      <w:pPr>
        <w:framePr w:w="9360" w:hSpace="187" w:vSpace="187" w:wrap="notBeside" w:vAnchor="text" w:hAnchor="page" w:x="1719" w:y="-332"/>
        <w:adjustRightInd w:val="0"/>
        <w:jc w:val="center"/>
        <w:rPr>
          <w:b/>
          <w:bCs/>
          <w:sz w:val="30"/>
          <w:szCs w:val="30"/>
        </w:rPr>
      </w:pPr>
      <w:r w:rsidRPr="0040101C">
        <w:rPr>
          <w:b/>
          <w:bCs/>
          <w:sz w:val="30"/>
          <w:szCs w:val="30"/>
        </w:rPr>
        <w:t>Comparison of the Outcome of Partial Thickness Skin Graft Harvesting from Scalp with Partial Thickness Skin Graft of the Lower Extremity for Scalp Skin Defects Treatment in Patients Referring to Besat Plastic Surgery Ward during 2017-2018</w:t>
      </w:r>
    </w:p>
    <w:p w:rsidR="00EC5332" w:rsidRDefault="00EC5332" w:rsidP="00EC5332">
      <w:pPr>
        <w:pStyle w:val="Authors"/>
        <w:framePr w:w="0" w:hSpace="0" w:vSpace="0" w:wrap="auto" w:vAnchor="margin" w:hAnchor="text" w:xAlign="left" w:yAlign="inline"/>
      </w:pPr>
      <w:r>
        <w:t>Mehrdad Taghipour</w:t>
      </w:r>
      <w:r>
        <w:t>, Mina Rostami</w:t>
      </w:r>
      <w:r>
        <w:t>,</w:t>
      </w:r>
      <w:r>
        <w:t xml:space="preserve"> </w:t>
      </w:r>
      <w:r>
        <w:t xml:space="preserve">Mehdi </w:t>
      </w:r>
      <w:r>
        <w:t>Eskandarloo</w:t>
      </w:r>
    </w:p>
    <w:p w:rsidR="00EC5332" w:rsidRDefault="00EC5332" w:rsidP="00EC5332">
      <w:pPr>
        <w:pStyle w:val="Text"/>
        <w:ind w:firstLine="0"/>
        <w:rPr>
          <w:sz w:val="18"/>
          <w:szCs w:val="18"/>
        </w:rPr>
      </w:pPr>
      <w:r>
        <w:rPr>
          <w:sz w:val="18"/>
          <w:szCs w:val="18"/>
        </w:rPr>
        <w:footnoteReference w:customMarkFollows="1" w:id="1"/>
        <w:sym w:font="Symbol" w:char="F020"/>
      </w:r>
    </w:p>
    <w:p w:rsidR="00EC5332" w:rsidRDefault="00EC5332" w:rsidP="00EC5332">
      <w:pPr>
        <w:pStyle w:val="Text"/>
        <w:ind w:firstLine="0"/>
        <w:rPr>
          <w:sz w:val="18"/>
          <w:szCs w:val="18"/>
        </w:rPr>
      </w:pPr>
    </w:p>
    <w:p w:rsidR="00EC5332" w:rsidRDefault="00EC5332" w:rsidP="00EC5332">
      <w:pPr>
        <w:pStyle w:val="Text"/>
        <w:ind w:firstLine="0"/>
        <w:rPr>
          <w:sz w:val="18"/>
          <w:szCs w:val="18"/>
        </w:rPr>
      </w:pPr>
    </w:p>
    <w:p w:rsidR="00EC5332" w:rsidRPr="00EC5332" w:rsidRDefault="00EC5332" w:rsidP="00EC5332">
      <w:pPr>
        <w:adjustRightInd w:val="0"/>
        <w:spacing w:after="240"/>
        <w:jc w:val="both"/>
        <w:rPr>
          <w:b/>
          <w:bCs/>
          <w:color w:val="000000"/>
          <w:sz w:val="24"/>
          <w:szCs w:val="28"/>
        </w:rPr>
      </w:pPr>
      <w:bookmarkStart w:id="0" w:name="_GoBack"/>
      <w:r w:rsidRPr="00EC5332">
        <w:rPr>
          <w:b/>
          <w:bCs/>
          <w:i/>
          <w:iCs/>
          <w:sz w:val="24"/>
          <w:szCs w:val="24"/>
        </w:rPr>
        <w:t>Abstract</w:t>
      </w:r>
      <w:r w:rsidRPr="00EC5332">
        <w:rPr>
          <w:b/>
          <w:bCs/>
          <w:color w:val="000000"/>
          <w:sz w:val="24"/>
          <w:szCs w:val="28"/>
        </w:rPr>
        <w:t xml:space="preserve"> </w:t>
      </w:r>
    </w:p>
    <w:bookmarkEnd w:id="0"/>
    <w:p w:rsidR="00EC5332" w:rsidRPr="004B122A" w:rsidRDefault="00EC5332" w:rsidP="00EC5332">
      <w:pPr>
        <w:adjustRightInd w:val="0"/>
        <w:spacing w:after="240"/>
        <w:jc w:val="both"/>
        <w:rPr>
          <w:bCs/>
          <w:color w:val="000000"/>
          <w:szCs w:val="24"/>
        </w:rPr>
      </w:pPr>
      <w:r w:rsidRPr="00EE74F4">
        <w:rPr>
          <w:b/>
          <w:color w:val="000000"/>
          <w:szCs w:val="24"/>
        </w:rPr>
        <w:t>Objective</w:t>
      </w:r>
      <w:r w:rsidRPr="00EE74F4">
        <w:rPr>
          <w:b/>
          <w:bCs/>
          <w:color w:val="000000"/>
          <w:szCs w:val="24"/>
        </w:rPr>
        <w:t>:</w:t>
      </w:r>
      <w:r w:rsidRPr="00EE74F4">
        <w:rPr>
          <w:color w:val="000000"/>
          <w:szCs w:val="24"/>
        </w:rPr>
        <w:t xml:space="preserve"> </w:t>
      </w:r>
      <w:r>
        <w:rPr>
          <w:color w:val="000000"/>
          <w:szCs w:val="24"/>
        </w:rPr>
        <w:t xml:space="preserve">Partial thickness </w:t>
      </w:r>
      <w:r>
        <w:rPr>
          <w:rStyle w:val="tlid-translation"/>
          <w:lang w:val="en"/>
        </w:rPr>
        <w:t>skin graft is central nucleus of the treatment of scalp defects. Routine donor sites include the thighs, abdomen and buttocks. Considering the complications following the preparation of grafts from these areas and relying on the potential benefits of scalp (extensive surface, rapid wound healing and more aesthetic results) in this study, an attempt has been made to compare the results of skin graft preparation from scalp and lower limbs.</w:t>
      </w:r>
    </w:p>
    <w:p w:rsidR="00EC5332" w:rsidRPr="004B122A" w:rsidRDefault="00EC5332" w:rsidP="00EC5332">
      <w:pPr>
        <w:adjustRightInd w:val="0"/>
        <w:spacing w:after="240"/>
        <w:jc w:val="both"/>
        <w:rPr>
          <w:bCs/>
          <w:color w:val="000000"/>
          <w:szCs w:val="24"/>
        </w:rPr>
      </w:pPr>
      <w:r w:rsidRPr="00EE74F4">
        <w:rPr>
          <w:b/>
          <w:color w:val="000000"/>
          <w:szCs w:val="24"/>
        </w:rPr>
        <w:t xml:space="preserve">Material and Methods: </w:t>
      </w:r>
      <w:r>
        <w:rPr>
          <w:rStyle w:val="tlid-translation"/>
          <w:lang w:val="en"/>
        </w:rPr>
        <w:t xml:space="preserve">This clinical trial study was performed with a sample of 40 patients (20 cases and 20 controls) with scalp deformity who were candidate for partial thickness skin graft who referred to the plastic surgery ward of Besat Medical Center in Hamadan from 2017 to 2016. Sampling performed as simple randomization and randomization using a table of random numbers. Data were collected using a designed checklist. The preparation of graft (donor site) in cased group was from the scalp and in the control group from the lower extremities. The data were analyzed using descriptive statistical indicators, </w:t>
      </w:r>
      <w:r w:rsidRPr="00340318">
        <w:rPr>
          <w:rStyle w:val="Emphasis"/>
          <w:i w:val="0"/>
          <w:iCs w:val="0"/>
        </w:rPr>
        <w:t>Chi</w:t>
      </w:r>
      <w:r w:rsidRPr="00340318">
        <w:rPr>
          <w:rStyle w:val="st"/>
          <w:i/>
          <w:iCs/>
        </w:rPr>
        <w:t>-</w:t>
      </w:r>
      <w:r w:rsidRPr="00340318">
        <w:rPr>
          <w:rStyle w:val="Emphasis"/>
          <w:i w:val="0"/>
          <w:iCs w:val="0"/>
        </w:rPr>
        <w:t xml:space="preserve">square </w:t>
      </w:r>
      <w:r>
        <w:rPr>
          <w:rStyle w:val="Emphasis"/>
          <w:i w:val="0"/>
          <w:iCs w:val="0"/>
        </w:rPr>
        <w:t>and</w:t>
      </w:r>
      <w:r>
        <w:rPr>
          <w:rStyle w:val="tlid-translation"/>
          <w:lang w:val="en"/>
        </w:rPr>
        <w:t xml:space="preserve"> T-test tests with SPSS software version 21.</w:t>
      </w:r>
    </w:p>
    <w:p w:rsidR="00EC5332" w:rsidRPr="004B122A" w:rsidRDefault="00EC5332" w:rsidP="00EC5332">
      <w:pPr>
        <w:adjustRightInd w:val="0"/>
        <w:spacing w:after="240"/>
        <w:jc w:val="both"/>
        <w:rPr>
          <w:bCs/>
          <w:color w:val="000000"/>
          <w:szCs w:val="24"/>
        </w:rPr>
      </w:pPr>
      <w:r w:rsidRPr="00EE74F4">
        <w:rPr>
          <w:b/>
          <w:color w:val="000000"/>
          <w:szCs w:val="24"/>
        </w:rPr>
        <w:t>Results:</w:t>
      </w:r>
      <w:r w:rsidRPr="00EE74F4">
        <w:rPr>
          <w:color w:val="000000"/>
          <w:szCs w:val="24"/>
        </w:rPr>
        <w:t xml:space="preserve"> </w:t>
      </w:r>
      <w:r>
        <w:rPr>
          <w:rStyle w:val="tlid-translation"/>
          <w:lang w:val="en"/>
        </w:rPr>
        <w:t xml:space="preserve">Out of a total of 40 patients participating in the study, 28 (70%) were male and 12 (30%) were female with the mean age of 45.37±09.73 years. Hypertension and diabetes were the most common comorbidities in patients. In terms of the mechanism of defect formation, Cancer (BCC) and trauma had the highest statistics and there was a significant relationship between study groups in terms of mechanism of lesion formation (P = 0.02). The highest frequency of lesions was in the temporal zone in case group and in the parietal area in the control group. The depth of most lesions was up to the </w:t>
      </w:r>
      <w:proofErr w:type="spellStart"/>
      <w:r>
        <w:rPr>
          <w:rStyle w:val="tlid-translation"/>
          <w:lang w:val="en"/>
        </w:rPr>
        <w:t>galea</w:t>
      </w:r>
      <w:proofErr w:type="spellEnd"/>
      <w:r>
        <w:rPr>
          <w:rStyle w:val="tlid-translation"/>
          <w:lang w:val="en"/>
        </w:rPr>
        <w:t xml:space="preserve"> area. The mean lesion size in all patients was 45.37 ± 24.28 mm, respectively. The difference between the </w:t>
      </w:r>
      <w:r>
        <w:rPr>
          <w:rStyle w:val="tlid-translation"/>
          <w:lang w:val="en"/>
        </w:rPr>
        <w:t>sizes</w:t>
      </w:r>
      <w:r>
        <w:rPr>
          <w:rStyle w:val="tlid-translation"/>
          <w:lang w:val="en"/>
        </w:rPr>
        <w:t xml:space="preserve"> of the lesion was significant in different groups. While there was no significant statistical difference between the sizes of the grafts. According to studies, graft take in both groups was completely successful. The rate of pain in patients of the case group was lower than the control based on VAS criteria and their satisfaction was higher according to the Likert scale.</w:t>
      </w:r>
    </w:p>
    <w:p w:rsidR="00EC5332" w:rsidRPr="004B122A" w:rsidRDefault="00EC5332" w:rsidP="00EC5332">
      <w:pPr>
        <w:adjustRightInd w:val="0"/>
        <w:spacing w:after="240"/>
        <w:jc w:val="both"/>
        <w:rPr>
          <w:bCs/>
          <w:color w:val="000000"/>
          <w:szCs w:val="24"/>
        </w:rPr>
      </w:pPr>
      <w:r w:rsidRPr="00EE74F4">
        <w:rPr>
          <w:b/>
          <w:color w:val="000000"/>
          <w:szCs w:val="24"/>
        </w:rPr>
        <w:t>Conclusion:</w:t>
      </w:r>
      <w:r w:rsidRPr="00EE74F4">
        <w:rPr>
          <w:color w:val="000000"/>
          <w:szCs w:val="24"/>
        </w:rPr>
        <w:t xml:space="preserve"> </w:t>
      </w:r>
      <w:r>
        <w:rPr>
          <w:rStyle w:val="tlid-translation"/>
          <w:lang w:val="en"/>
        </w:rPr>
        <w:t>Based on the results of this study, scalp can be mentioned as a safe place for skin grafting in scalp defects, which has fewer side effects and more advantages than other places such as lower limbs.</w:t>
      </w:r>
    </w:p>
    <w:p w:rsidR="00EC5332" w:rsidRPr="004B122A" w:rsidRDefault="00EC5332" w:rsidP="00EC5332">
      <w:pPr>
        <w:adjustRightInd w:val="0"/>
        <w:spacing w:after="240"/>
        <w:jc w:val="both"/>
        <w:rPr>
          <w:bCs/>
          <w:color w:val="000000"/>
          <w:szCs w:val="24"/>
        </w:rPr>
      </w:pPr>
      <w:r w:rsidRPr="0040101C">
        <w:rPr>
          <w:b/>
          <w:i/>
          <w:iCs/>
          <w:color w:val="000000"/>
          <w:szCs w:val="24"/>
        </w:rPr>
        <w:t>Keywords</w:t>
      </w:r>
      <w:r w:rsidRPr="00EE74F4">
        <w:rPr>
          <w:b/>
          <w:color w:val="000000"/>
          <w:szCs w:val="24"/>
        </w:rPr>
        <w:t>:</w:t>
      </w:r>
      <w:r>
        <w:rPr>
          <w:rStyle w:val="tlid-translation"/>
          <w:lang w:val="en"/>
        </w:rPr>
        <w:t xml:space="preserve"> Donor site, Leg, Partial thickness Graft, scalp. </w:t>
      </w:r>
    </w:p>
    <w:p w:rsidR="00AC1296" w:rsidRDefault="00AC3C4A"/>
    <w:sectPr w:rsidR="00AC12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C4A" w:rsidRDefault="00AC3C4A" w:rsidP="00EC5332">
      <w:r>
        <w:separator/>
      </w:r>
    </w:p>
  </w:endnote>
  <w:endnote w:type="continuationSeparator" w:id="0">
    <w:p w:rsidR="00AC3C4A" w:rsidRDefault="00AC3C4A" w:rsidP="00EC5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C4A" w:rsidRDefault="00AC3C4A" w:rsidP="00EC5332">
      <w:r>
        <w:separator/>
      </w:r>
    </w:p>
  </w:footnote>
  <w:footnote w:type="continuationSeparator" w:id="0">
    <w:p w:rsidR="00AC3C4A" w:rsidRDefault="00AC3C4A" w:rsidP="00EC5332">
      <w:r>
        <w:continuationSeparator/>
      </w:r>
    </w:p>
  </w:footnote>
  <w:footnote w:id="1">
    <w:p w:rsidR="00EC5332" w:rsidRDefault="00EC5332" w:rsidP="00EC5332">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590"/>
    <w:rsid w:val="00151C59"/>
    <w:rsid w:val="0031692F"/>
    <w:rsid w:val="00867590"/>
    <w:rsid w:val="00AC3C4A"/>
    <w:rsid w:val="00EC53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45F09"/>
  <w15:chartTrackingRefBased/>
  <w15:docId w15:val="{E9C836D2-3C16-4EA2-8891-E06742BDC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332"/>
    <w:pPr>
      <w:autoSpaceDE w:val="0"/>
      <w:autoSpaceDN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C5332"/>
    <w:pPr>
      <w:ind w:firstLine="202"/>
      <w:jc w:val="both"/>
    </w:pPr>
    <w:rPr>
      <w:sz w:val="16"/>
      <w:szCs w:val="16"/>
    </w:rPr>
  </w:style>
  <w:style w:type="character" w:customStyle="1" w:styleId="FootnoteTextChar">
    <w:name w:val="Footnote Text Char"/>
    <w:basedOn w:val="DefaultParagraphFont"/>
    <w:link w:val="FootnoteText"/>
    <w:semiHidden/>
    <w:rsid w:val="00EC5332"/>
    <w:rPr>
      <w:rFonts w:ascii="Times New Roman" w:eastAsia="Times New Roman" w:hAnsi="Times New Roman" w:cs="Times New Roman"/>
      <w:sz w:val="16"/>
      <w:szCs w:val="16"/>
    </w:rPr>
  </w:style>
  <w:style w:type="paragraph" w:customStyle="1" w:styleId="Text">
    <w:name w:val="Text"/>
    <w:basedOn w:val="Normal"/>
    <w:rsid w:val="00EC5332"/>
    <w:pPr>
      <w:widowControl w:val="0"/>
      <w:spacing w:line="252" w:lineRule="auto"/>
      <w:ind w:firstLine="202"/>
      <w:jc w:val="both"/>
    </w:pPr>
  </w:style>
  <w:style w:type="character" w:styleId="Emphasis">
    <w:name w:val="Emphasis"/>
    <w:uiPriority w:val="20"/>
    <w:qFormat/>
    <w:rsid w:val="00EC5332"/>
    <w:rPr>
      <w:i/>
      <w:iCs/>
    </w:rPr>
  </w:style>
  <w:style w:type="character" w:customStyle="1" w:styleId="tlid-translation">
    <w:name w:val="tlid-translation"/>
    <w:rsid w:val="00EC5332"/>
  </w:style>
  <w:style w:type="character" w:customStyle="1" w:styleId="st">
    <w:name w:val="st"/>
    <w:rsid w:val="00EC5332"/>
  </w:style>
  <w:style w:type="paragraph" w:customStyle="1" w:styleId="Authors">
    <w:name w:val="Authors"/>
    <w:basedOn w:val="Normal"/>
    <w:next w:val="Normal"/>
    <w:rsid w:val="00EC5332"/>
    <w:pPr>
      <w:framePr w:w="9072" w:hSpace="187" w:vSpace="187" w:wrap="notBeside" w:vAnchor="text" w:hAnchor="page" w:xAlign="center" w:y="1"/>
      <w:spacing w:after="320"/>
      <w:jc w:val="center"/>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420</Words>
  <Characters>2394</Characters>
  <Application>Microsoft Office Word</Application>
  <DocSecurity>0</DocSecurity>
  <Lines>19</Lines>
  <Paragraphs>5</Paragraphs>
  <ScaleCrop>false</ScaleCrop>
  <Company>Moorche 30 DVDs</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2</cp:revision>
  <dcterms:created xsi:type="dcterms:W3CDTF">2022-06-09T16:03:00Z</dcterms:created>
  <dcterms:modified xsi:type="dcterms:W3CDTF">2022-06-09T16:04:00Z</dcterms:modified>
</cp:coreProperties>
</file>