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C8E52" w14:textId="77777777" w:rsidR="007B475C" w:rsidRDefault="007B475C" w:rsidP="004C6BB5">
      <w:pPr>
        <w:pStyle w:val="BodyText"/>
        <w:rPr>
          <w:sz w:val="10"/>
        </w:rPr>
      </w:pPr>
      <w:r>
        <w:rPr>
          <w:noProof/>
          <w:sz w:val="20"/>
          <w:lang w:val="en-IE" w:eastAsia="en-IE"/>
        </w:rPr>
        <w:drawing>
          <wp:inline distT="0" distB="0" distL="0" distR="0" wp14:anchorId="7DBC8E8D" wp14:editId="7DBC8E8E">
            <wp:extent cx="7359650" cy="955675"/>
            <wp:effectExtent l="0" t="0" r="0" b="0"/>
            <wp:docPr id="10" name="Picture 10" descr="\\omicswb-0252\Pallab Temp Share\santosh\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icswb-0252\Pallab Temp Share\santosh\World Summit 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5675"/>
                    </a:xfrm>
                    <a:prstGeom prst="rect">
                      <a:avLst/>
                    </a:prstGeom>
                    <a:noFill/>
                    <a:ln>
                      <a:noFill/>
                    </a:ln>
                  </pic:spPr>
                </pic:pic>
              </a:graphicData>
            </a:graphic>
          </wp:inline>
        </w:drawing>
      </w:r>
    </w:p>
    <w:p w14:paraId="7DBC8E53" w14:textId="77777777" w:rsidR="007B475C" w:rsidRDefault="007B475C" w:rsidP="004C6BB5">
      <w:pPr>
        <w:pStyle w:val="BodyText"/>
        <w:rPr>
          <w:sz w:val="10"/>
        </w:rPr>
      </w:pPr>
    </w:p>
    <w:p w14:paraId="7DBC8E54" w14:textId="77777777" w:rsidR="007B475C" w:rsidRDefault="007B475C" w:rsidP="004C6BB5">
      <w:pPr>
        <w:pStyle w:val="BodyText"/>
        <w:rPr>
          <w:sz w:val="10"/>
        </w:rPr>
      </w:pPr>
    </w:p>
    <w:p w14:paraId="7DBC8E55" w14:textId="77777777" w:rsidR="008C3ACE" w:rsidRPr="007B475C" w:rsidRDefault="00B5063E" w:rsidP="007B475C">
      <w:pPr>
        <w:pStyle w:val="Heading1"/>
        <w:ind w:left="0" w:right="1062"/>
        <w:jc w:val="center"/>
        <w:rPr>
          <w:u w:val="single"/>
        </w:rPr>
      </w:pPr>
      <w:r w:rsidRPr="007B475C">
        <w:rPr>
          <w:color w:val="585858"/>
          <w:u w:val="single"/>
        </w:rPr>
        <w:t>Abstract Template</w:t>
      </w:r>
    </w:p>
    <w:p w14:paraId="7DBC8E56" w14:textId="77777777" w:rsidR="008C3ACE" w:rsidRDefault="008C3ACE">
      <w:pPr>
        <w:pStyle w:val="BodyText"/>
        <w:rPr>
          <w:b/>
          <w:sz w:val="14"/>
        </w:rPr>
      </w:pPr>
    </w:p>
    <w:p w14:paraId="7DBC8E57" w14:textId="4B64D806" w:rsidR="008C3ACE" w:rsidRPr="00A26704" w:rsidRDefault="00B5063E">
      <w:pPr>
        <w:spacing w:before="92"/>
        <w:ind w:left="594" w:right="151"/>
        <w:rPr>
          <w:b/>
          <w:sz w:val="18"/>
          <w:szCs w:val="18"/>
        </w:rPr>
      </w:pPr>
      <w:r w:rsidRPr="00A26704">
        <w:rPr>
          <w:b/>
          <w:color w:val="585858"/>
          <w:sz w:val="18"/>
          <w:szCs w:val="18"/>
        </w:rPr>
        <w:t xml:space="preserve">Title: </w:t>
      </w:r>
      <w:r w:rsidR="0016261F">
        <w:rPr>
          <w:b/>
          <w:color w:val="585858"/>
          <w:sz w:val="18"/>
          <w:szCs w:val="18"/>
        </w:rPr>
        <w:t>Vibrational analysis of CO</w:t>
      </w:r>
      <w:r w:rsidR="0016261F" w:rsidRPr="0016261F">
        <w:rPr>
          <w:b/>
          <w:color w:val="585858"/>
          <w:sz w:val="18"/>
          <w:szCs w:val="18"/>
          <w:vertAlign w:val="subscript"/>
        </w:rPr>
        <w:t>2</w:t>
      </w:r>
      <w:r w:rsidR="0016261F">
        <w:rPr>
          <w:b/>
          <w:color w:val="585858"/>
          <w:sz w:val="18"/>
          <w:szCs w:val="18"/>
        </w:rPr>
        <w:t xml:space="preserve"> laser treated poly(lactic acid)</w:t>
      </w:r>
    </w:p>
    <w:p w14:paraId="7DBC8E58" w14:textId="4101EF36" w:rsidR="008C3ACE" w:rsidRPr="00A26704" w:rsidRDefault="00EF0B22">
      <w:pPr>
        <w:pStyle w:val="Heading3"/>
        <w:spacing w:line="214" w:lineRule="exact"/>
        <w:ind w:left="594" w:firstLine="0"/>
        <w:rPr>
          <w:sz w:val="18"/>
          <w:szCs w:val="18"/>
        </w:rPr>
      </w:pPr>
      <w:r>
        <w:rPr>
          <w:color w:val="585858"/>
          <w:sz w:val="18"/>
          <w:szCs w:val="18"/>
        </w:rPr>
        <w:t>Foram Dave</w:t>
      </w:r>
      <w:r w:rsidR="00B5063E" w:rsidRPr="00A26704">
        <w:rPr>
          <w:color w:val="585858"/>
          <w:position w:val="9"/>
          <w:sz w:val="18"/>
          <w:szCs w:val="18"/>
        </w:rPr>
        <w:t>1</w:t>
      </w:r>
      <w:r w:rsidR="00B5063E" w:rsidRPr="00A26704">
        <w:rPr>
          <w:color w:val="585858"/>
          <w:sz w:val="18"/>
          <w:szCs w:val="18"/>
        </w:rPr>
        <w:t>,</w:t>
      </w:r>
      <w:r>
        <w:rPr>
          <w:color w:val="585858"/>
          <w:sz w:val="18"/>
          <w:szCs w:val="18"/>
        </w:rPr>
        <w:t xml:space="preserve"> Richard Sherlock</w:t>
      </w:r>
      <w:hyperlink r:id="rId6" w:anchor="a1">
        <w:r w:rsidR="00B5063E" w:rsidRPr="00A26704">
          <w:rPr>
            <w:color w:val="585858"/>
            <w:position w:val="9"/>
            <w:sz w:val="18"/>
            <w:szCs w:val="18"/>
          </w:rPr>
          <w:t>1</w:t>
        </w:r>
        <w:r w:rsidR="00B5063E" w:rsidRPr="00A26704">
          <w:rPr>
            <w:color w:val="585858"/>
            <w:sz w:val="18"/>
            <w:szCs w:val="18"/>
          </w:rPr>
          <w:t>,</w:t>
        </w:r>
      </w:hyperlink>
      <w:r>
        <w:rPr>
          <w:color w:val="585858"/>
          <w:sz w:val="18"/>
          <w:szCs w:val="18"/>
        </w:rPr>
        <w:t xml:space="preserve"> David Tormey</w:t>
      </w:r>
      <w:r w:rsidR="00B5063E" w:rsidRPr="00A26704">
        <w:rPr>
          <w:color w:val="585858"/>
          <w:position w:val="9"/>
          <w:sz w:val="18"/>
          <w:szCs w:val="18"/>
        </w:rPr>
        <w:t>1</w:t>
      </w:r>
    </w:p>
    <w:p w14:paraId="7DBC8E59" w14:textId="7C681BDD" w:rsidR="008C3ACE" w:rsidRPr="00A26704" w:rsidRDefault="00B5063E">
      <w:pPr>
        <w:pStyle w:val="BodyText"/>
        <w:spacing w:before="126" w:line="231" w:lineRule="exact"/>
        <w:ind w:left="594"/>
        <w:rPr>
          <w:sz w:val="16"/>
          <w:szCs w:val="16"/>
        </w:rPr>
      </w:pPr>
      <w:r w:rsidRPr="00A26704">
        <w:rPr>
          <w:color w:val="585858"/>
          <w:position w:val="9"/>
          <w:sz w:val="16"/>
          <w:szCs w:val="16"/>
        </w:rPr>
        <w:t>1</w:t>
      </w:r>
      <w:r w:rsidR="00EF0B22">
        <w:rPr>
          <w:color w:val="585858"/>
          <w:sz w:val="16"/>
          <w:szCs w:val="16"/>
        </w:rPr>
        <w:t>Centre for Precision Engineering, Materials and Manufacturing Research (PEM), Institute of Technology Sligo, Ireland</w:t>
      </w:r>
    </w:p>
    <w:p w14:paraId="7DBC8E5B" w14:textId="77777777" w:rsidR="008C3ACE" w:rsidRDefault="008C3ACE">
      <w:pPr>
        <w:pStyle w:val="BodyText"/>
        <w:spacing w:before="9"/>
      </w:pPr>
    </w:p>
    <w:p w14:paraId="7DBC8E5C" w14:textId="77777777" w:rsidR="008C3ACE" w:rsidRDefault="008C3ACE">
      <w:pPr>
        <w:sectPr w:rsidR="008C3ACE" w:rsidSect="007B475C">
          <w:type w:val="continuous"/>
          <w:pgSz w:w="11910" w:h="16840"/>
          <w:pgMar w:top="284" w:right="180" w:bottom="280" w:left="140" w:header="720" w:footer="720" w:gutter="0"/>
          <w:cols w:space="720"/>
        </w:sectPr>
      </w:pPr>
    </w:p>
    <w:p w14:paraId="7DBC8E5D" w14:textId="1E08D559" w:rsidR="008C3ACE" w:rsidRPr="00A26704" w:rsidRDefault="00B5063E">
      <w:pPr>
        <w:pStyle w:val="Heading3"/>
        <w:spacing w:before="114"/>
        <w:ind w:left="426" w:right="9" w:firstLine="0"/>
        <w:jc w:val="both"/>
        <w:rPr>
          <w:sz w:val="18"/>
          <w:szCs w:val="18"/>
        </w:rPr>
      </w:pPr>
      <w:r w:rsidRPr="00A26704">
        <w:rPr>
          <w:color w:val="585858"/>
          <w:sz w:val="18"/>
          <w:szCs w:val="18"/>
        </w:rPr>
        <w:t xml:space="preserve">Keywords: </w:t>
      </w:r>
      <w:r w:rsidR="006C628F" w:rsidRPr="006C628F">
        <w:rPr>
          <w:sz w:val="18"/>
          <w:szCs w:val="18"/>
        </w:rPr>
        <w:t>CO</w:t>
      </w:r>
      <w:r w:rsidR="006C628F" w:rsidRPr="006C628F">
        <w:rPr>
          <w:sz w:val="18"/>
          <w:szCs w:val="18"/>
          <w:vertAlign w:val="subscript"/>
        </w:rPr>
        <w:t>2</w:t>
      </w:r>
      <w:r w:rsidR="006C628F" w:rsidRPr="006C628F">
        <w:rPr>
          <w:sz w:val="18"/>
          <w:szCs w:val="18"/>
        </w:rPr>
        <w:t xml:space="preserve"> laser, </w:t>
      </w:r>
      <w:r w:rsidR="006C628F" w:rsidRPr="006C628F">
        <w:rPr>
          <w:color w:val="333333"/>
          <w:sz w:val="18"/>
          <w:szCs w:val="18"/>
          <w:lang w:eastAsia="en-IE"/>
        </w:rPr>
        <w:t>Fourier transfer infrared spectroscopy: attenuated total reflection (FT-IR: ATR), Raman spectroscopy, bulk modification</w:t>
      </w:r>
    </w:p>
    <w:p w14:paraId="7DBC8E5E" w14:textId="77777777" w:rsidR="008C3ACE" w:rsidRDefault="008C3ACE">
      <w:pPr>
        <w:pStyle w:val="BodyText"/>
        <w:rPr>
          <w:b/>
          <w:sz w:val="20"/>
        </w:rPr>
      </w:pPr>
    </w:p>
    <w:p w14:paraId="7DBC8E5F" w14:textId="77777777" w:rsidR="008C3ACE" w:rsidRDefault="008C3ACE">
      <w:pPr>
        <w:pStyle w:val="BodyText"/>
        <w:spacing w:before="10"/>
        <w:rPr>
          <w:b/>
        </w:rPr>
      </w:pPr>
    </w:p>
    <w:p w14:paraId="7DBC8E60"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727C41FC" w14:textId="1069D2D2" w:rsidR="009C0BF7" w:rsidRPr="003C358C" w:rsidRDefault="009C0BF7" w:rsidP="003C358C">
      <w:pPr>
        <w:ind w:left="1420"/>
        <w:jc w:val="both"/>
        <w:rPr>
          <w:sz w:val="19"/>
          <w:szCs w:val="19"/>
        </w:rPr>
      </w:pPr>
      <w:r w:rsidRPr="003C358C">
        <w:rPr>
          <w:sz w:val="19"/>
          <w:szCs w:val="19"/>
        </w:rPr>
        <w:t>Poly(lactic acid)</w:t>
      </w:r>
      <w:r w:rsidR="003F477A">
        <w:rPr>
          <w:sz w:val="19"/>
          <w:szCs w:val="19"/>
        </w:rPr>
        <w:t xml:space="preserve"> (PLA)</w:t>
      </w:r>
      <w:r w:rsidRPr="003C358C">
        <w:rPr>
          <w:sz w:val="19"/>
          <w:szCs w:val="19"/>
        </w:rPr>
        <w:t xml:space="preserve"> is one of the most commonly deployed bioresorbable polymer used for the biomedical and consumer applications</w:t>
      </w:r>
      <w:r w:rsidRPr="003C358C">
        <w:rPr>
          <w:sz w:val="19"/>
          <w:szCs w:val="19"/>
        </w:rPr>
        <w:fldChar w:fldCharType="begin" w:fldLock="1"/>
      </w:r>
      <w:r w:rsidRPr="003C358C">
        <w:rPr>
          <w:sz w:val="19"/>
          <w:szCs w:val="19"/>
        </w:rPr>
        <w:instrText>ADDIN CSL_CITATION {"citationItems":[{"id":"ITEM-1","itemData":{"DOI":"10.1016/j.rser.2017.05.143","ISSN":"18790690","abstract":"Biodegradable polymers are seen as a potential solution to the environmental problems generated by plastic waste. In particular, the renewable aliphatic polyesters of poly(hydroxyacid)-type homopolymers and copolymers consisting of polylactic acid (PLA), poly(glycolic acid) (PGA), and poly(e-caprolactone) (PCL) constitute the most promising bioresorbable materials for applications in biomedical and consumer applications. Among those polymers, PLA has attracted particular attention as a substitute for conventional petroleum-based plastics. PLA is synthesized by the fermentation of renewable agricultural sources, including corn, cellulose, and other polysaccharides. Although some of its characteristics are disadvantageous (e.g., poor melt properties, mechanical brittleness, low heat resistance, and slow crystallization), there exist potential routes to resolve these shortcomings. These include copolymerization, blending, plasticization modification, or the addition of reinforcing phases (e.g., chitosan (Cs), cellulose, and starch). In this review, we discuss the degradation mechanisms of PLA and its modified form in the environment, current issues that hinder the achievement of good Cs/PLA combination, and ways to overcome some of these problems. Furthermore, our discussion is extended to cover the subjects of hydrolytic degradation and weathering effects with different Cs/PLA blends.","author":[{"dropping-particle":"","family":"Elsawy","given":"Moataz A.","non-dropping-particle":"","parse-names":false,"suffix":""},{"dropping-particle":"","family":"Kim","given":"Ki Hyun","non-dropping-particle":"","parse-names":false,"suffix":""},{"dropping-particle":"","family":"Park","given":"Jae Woo","non-dropping-particle":"","parse-names":false,"suffix":""},{"dropping-particle":"","family":"Deep","given":"Akash","non-dropping-particle":"","parse-names":false,"suffix":""}],"container-title":"Renewable and Sustainable Energy Reviews","id":"ITEM-1","issue":"May","issued":{"date-parts":[["2017"]]},"page":"1346-1352","publisher":"Elsevier Ltd","title":"Hydrolytic degradation of polylactic acid (PLA) and its composites","type":"article-journal","volume":"79"},"uris":["http://www.mendeley.com/documents/?uuid=ef3a8bb9-b2bb-4384-a478-e5eb703fadf6"]}],"mendeley":{"formattedCitation":"[1]","plainTextFormattedCitation":"[1]","previouslyFormattedCitation":"[1]"},"properties":{"noteIndex":0},"schema":"https://github.com/citation-style-language/schema/raw/master/csl-citation.json"}</w:instrText>
      </w:r>
      <w:r w:rsidRPr="003C358C">
        <w:rPr>
          <w:sz w:val="19"/>
          <w:szCs w:val="19"/>
        </w:rPr>
        <w:fldChar w:fldCharType="separate"/>
      </w:r>
      <w:r w:rsidRPr="003C358C">
        <w:rPr>
          <w:noProof/>
          <w:sz w:val="19"/>
          <w:szCs w:val="19"/>
        </w:rPr>
        <w:t>[1]</w:t>
      </w:r>
      <w:r w:rsidRPr="003C358C">
        <w:rPr>
          <w:sz w:val="19"/>
          <w:szCs w:val="19"/>
        </w:rPr>
        <w:fldChar w:fldCharType="end"/>
      </w:r>
      <w:r w:rsidRPr="003C358C">
        <w:rPr>
          <w:sz w:val="19"/>
          <w:szCs w:val="19"/>
        </w:rPr>
        <w:t>. For any application, the degradation rate of the polymer is a key consideration. The degradation rate of PLA can be altered through various techniques like blending</w:t>
      </w:r>
      <w:r w:rsidRPr="003C358C">
        <w:rPr>
          <w:sz w:val="19"/>
          <w:szCs w:val="19"/>
        </w:rPr>
        <w:fldChar w:fldCharType="begin" w:fldLock="1"/>
      </w:r>
      <w:r w:rsidRPr="003C358C">
        <w:rPr>
          <w:sz w:val="19"/>
          <w:szCs w:val="19"/>
        </w:rPr>
        <w:instrText>ADDIN CSL_CITATION {"citationItems":[{"id":"ITEM-1","itemData":{"DOI":"10.1016/j.biortech.2010.05.092","ISSN":"1873-2976","PMID":"20630747","abstract":"The concept of biodegradable plastics is of considerable interest with respect to solid waste accumulation. Greater efforts have been made in developing degradable biological materials without any environmental pollution to replace oil-based traditional plastics. Among numerous kinds of degradable polymers, polylactic acid sometimes called polylactide, an aliphatic polyester and biocompatible thermoplastic, is currently a most promising and popular material with the brightest development prospect and was considered as the 'green' eco friendly material. Biodegradable plastics like polyglycolic acid, polylactic acid, polycaprolactone, polyhydroxybutyrate, etc. are commercially available for controlled drug releases, implantable composites, bone fixation parts, packaging and paper coatings, sustained release systems for pesticides and fertilizers and compost bags etc. This review will provide information on current PLA market, brief account on recent developments in the synthesis of lactic acid (monomer of PLA) through biological route, PLA synthesis, unique material properties of PLA and modification of those by making copolymers and composites, PLA degradation and its wide spectrum applications.","author":[{"dropping-particle":"","family":"Nampoothiri","given":"K. M.;","non-dropping-particle":"","parse-names":false,"suffix":""},{"dropping-particle":"","family":"Nimisha","given":"R. N.;","non-dropping-particle":"","parse-names":false,"suffix":""},{"dropping-particle":"","family":"Rojan","given":"P. J.","non-dropping-particle":"","parse-names":false,"suffix":""}],"container-title":"Bioresource technology","id":"ITEM-1","issue":"22","issued":{"date-parts":[["2010"]]},"page":"8493-501","publisher":"Elsevier Ltd","title":"An overview of the recent developments in polylactide (PLA) research.","type":"article-journal","volume":"101"},"uris":["http://www.mendeley.com/documents/?uuid=df5d759b-86ed-420b-a395-4fd00722784b"]}],"mendeley":{"formattedCitation":"[2]","plainTextFormattedCitation":"[2]","previouslyFormattedCitation":"[2]"},"properties":{"noteIndex":0},"schema":"https://github.com/citation-style-language/schema/raw/master/csl-citation.json"}</w:instrText>
      </w:r>
      <w:r w:rsidRPr="003C358C">
        <w:rPr>
          <w:sz w:val="19"/>
          <w:szCs w:val="19"/>
        </w:rPr>
        <w:fldChar w:fldCharType="separate"/>
      </w:r>
      <w:r w:rsidRPr="003C358C">
        <w:rPr>
          <w:noProof/>
          <w:sz w:val="19"/>
          <w:szCs w:val="19"/>
        </w:rPr>
        <w:t>[2]</w:t>
      </w:r>
      <w:r w:rsidRPr="003C358C">
        <w:rPr>
          <w:sz w:val="19"/>
          <w:szCs w:val="19"/>
        </w:rPr>
        <w:fldChar w:fldCharType="end"/>
      </w:r>
      <w:r w:rsidRPr="003C358C">
        <w:rPr>
          <w:sz w:val="19"/>
          <w:szCs w:val="19"/>
        </w:rPr>
        <w:t>, grafting, and gamma radiation</w:t>
      </w:r>
      <w:r w:rsidRPr="003C358C" w:rsidDel="00B65FFE">
        <w:rPr>
          <w:sz w:val="19"/>
          <w:szCs w:val="19"/>
        </w:rPr>
        <w:t xml:space="preserve"> </w:t>
      </w:r>
      <w:r w:rsidRPr="003C358C">
        <w:rPr>
          <w:sz w:val="19"/>
          <w:szCs w:val="19"/>
        </w:rPr>
        <w:fldChar w:fldCharType="begin" w:fldLock="1"/>
      </w:r>
      <w:r w:rsidRPr="003C358C">
        <w:rPr>
          <w:sz w:val="19"/>
          <w:szCs w:val="19"/>
        </w:rPr>
        <w:instrText>ADDIN CSL_CITATION {"citationItems":[{"id":"ITEM-1","itemData":{"DOI":"10.1007/s10924-016-0766-7","ISSN":"1566-2543","author":[{"dropping-particle":"","family":"Benyathiar","given":"Patnarin","non-dropping-particle":"","parse-names":false,"suffix":""},{"dropping-particle":"","family":"Selke","given":"Susan","non-dropping-particle":"","parse-names":false,"suffix":""},{"dropping-particle":"","family":"Auras","given":"Rafael","non-dropping-particle":"","parse-names":false,"suffix":""}],"container-title":"Journal of Polymers and the Environment","id":"ITEM-1","issue":"3","issued":{"date-parts":[["2016","9","23"]]},"page":"230-240","publisher":"Springer US","title":"The Effect of Gamma and Electron Beam Irradiation on the Biodegradability of PLA Films","type":"article-journal","volume":"24"},"uris":["http://www.mendeley.com/documents/?uuid=c6cd3dd4-2d99-3890-95d6-dcbd03729d87"]},{"id":"ITEM-2","itemData":{"DOI":"10.1016/j.radphyschem.2017.05.011","ISSN":"18790895","abstract":"Within the context of new bioplastic materials, poly(butylene succinate) (PBS) and four novel poly(butylene/thiodiethylene succinate) random copolymers (PBS-PTDGS), in sheets as well as in films, were exposed to gamma radiation, in air and in water, and their behavior along with the effect on their biodegradability was investigated. The molecular weight data obtained from gel permeation chromatography indicate that the sensibility to radiation increases with the amount of sulfur-containing co-unit (TDGS). At 200 kGy the average molecular weight of PBS film halves, while for P(BS60TDGS40) the residual molecular weight is about 20%. The calculated intermolecular crosslink Gx and scissioning Gs yields confirmed that degradation is predominant over crosslink for all the aliphatic systems. As shown by thermal analyses, gamma radiation affects the thermal properties, leading to an increased crystallinity of the systems, remarkable for PBS, and lower decomposition temperatures. Variations of crystallinity with the increasing absorbed dose were confirmed also by PALS analyses. Water contact angle measurements revealed post-irradiation wettability alterations that could positively affect polymer biodegradability. In particular, when irradiated in water at 100 kGy PBS film exhibits a water contact angle decrease of about 17%, indicating an enhanced wettability. After degradation in compost, changes in the surface morphology were observed by means of SEM and sample weight losses were determined, at different extent, according to the irradiation environment. Interestingly, after 52 days in compost PBS films, both pristine and irradiated in air at 25 kGy, showed a residual weight of about 60%, while the ones irradiated in water at 25 kGy of about 44%. Experimental data confirmed that gamma irradiation could represent a viable treatment to enhance biodegradation in compost of PBS and PBS-based copolymers.","author":[{"dropping-particle":"","family":"Negrin","given":"M.","non-dropping-particle":"","parse-names":false,"suffix":""},{"dropping-particle":"","family":"Macerata","given":"E.","non-dropping-particle":"","parse-names":false,"suffix":""},{"dropping-particle":"","family":"Consolati","given":"G.","non-dropping-particle":"","parse-names":false,"suffix":""},{"dropping-particle":"","family":"Quasso","given":"F.","non-dropping-particle":"","parse-names":false,"suffix":""},{"dropping-particle":"","family":"Genovese","given":"L.","non-dropping-particle":"","parse-names":false,"suffix":""},{"dropping-particle":"","family":"Soccio","given":"M.","non-dropping-particle":"","parse-names":false,"suffix":""},{"dropping-particle":"","family":"Giola","given":"M.","non-dropping-particle":"","parse-names":false,"suffix":""},{"dropping-particle":"","family":"Lotti","given":"N.","non-dropping-particle":"","parse-names":false,"suffix":""},{"dropping-particle":"","family":"Munari","given":"A.","non-dropping-particle":"","parse-names":false,"suffix":""},{"dropping-particle":"","family":"Mariani","given":"M.","non-dropping-particle":"","parse-names":false,"suffix":""}],"container-title":"Radiation Physics and Chemistry","id":"ITEM-2","issue":"May 2017","issued":{"date-parts":[["2018"]]},"page":"34-43","publisher":"Elsevier Ltd","title":"Gamma radiation effects on random copolymers based on poly(butylene succinate) for packaging applications","type":"article-journal","volume":"142"},"uris":["http://www.mendeley.com/documents/?uuid=42f6ec54-3d1b-4b5f-a55d-bd60872a21d9"]}],"mendeley":{"formattedCitation":"[3], [4]","manualFormatting":"[3, 4]","plainTextFormattedCitation":"[3], [4]","previouslyFormattedCitation":"[3], [4]"},"properties":{"noteIndex":0},"schema":"https://github.com/citation-style-language/schema/raw/master/csl-citation.json"}</w:instrText>
      </w:r>
      <w:r w:rsidRPr="003C358C">
        <w:rPr>
          <w:sz w:val="19"/>
          <w:szCs w:val="19"/>
        </w:rPr>
        <w:fldChar w:fldCharType="separate"/>
      </w:r>
      <w:r w:rsidRPr="003C358C">
        <w:rPr>
          <w:noProof/>
          <w:sz w:val="19"/>
          <w:szCs w:val="19"/>
        </w:rPr>
        <w:t>[3, 4]</w:t>
      </w:r>
      <w:r w:rsidRPr="003C358C">
        <w:rPr>
          <w:sz w:val="19"/>
          <w:szCs w:val="19"/>
        </w:rPr>
        <w:fldChar w:fldCharType="end"/>
      </w:r>
      <w:r w:rsidRPr="003C358C">
        <w:rPr>
          <w:sz w:val="19"/>
          <w:szCs w:val="19"/>
        </w:rPr>
        <w:t>. Laser radiation is one of the most efficient and easily controlled thermal processes for treating bioresorbable polymers. However, the structural changes taking place during the treatment can enhance or accelerate degradation of the material.</w:t>
      </w:r>
    </w:p>
    <w:p w14:paraId="23FC4EFE" w14:textId="77777777" w:rsidR="009C0BF7" w:rsidRPr="003C358C" w:rsidRDefault="009C0BF7" w:rsidP="003C358C">
      <w:pPr>
        <w:ind w:left="1420" w:firstLine="20"/>
        <w:jc w:val="both"/>
        <w:rPr>
          <w:sz w:val="19"/>
          <w:szCs w:val="19"/>
        </w:rPr>
      </w:pPr>
      <w:r w:rsidRPr="003C358C">
        <w:rPr>
          <w:sz w:val="19"/>
          <w:szCs w:val="19"/>
        </w:rPr>
        <w:t>In order to study the structural changes in the polymer, a detailed vibrational analysis of CO</w:t>
      </w:r>
      <w:r w:rsidRPr="003C358C">
        <w:rPr>
          <w:sz w:val="19"/>
          <w:szCs w:val="19"/>
          <w:vertAlign w:val="subscript"/>
        </w:rPr>
        <w:t>2</w:t>
      </w:r>
      <w:r w:rsidRPr="003C358C">
        <w:rPr>
          <w:sz w:val="19"/>
          <w:szCs w:val="19"/>
        </w:rPr>
        <w:t xml:space="preserve"> laser treated PLA sheets were carried out using simple and non-destructive techniques: </w:t>
      </w:r>
      <w:r w:rsidRPr="003C358C">
        <w:rPr>
          <w:color w:val="333333"/>
          <w:sz w:val="19"/>
          <w:szCs w:val="19"/>
          <w:lang w:eastAsia="en-IE"/>
        </w:rPr>
        <w:t xml:space="preserve">Fourier transfer infrared spectroscopy: attenuated total reflection (FT-IR: ATR) and Raman spectroscopy. The spectra before and after laser treatment were compared. The </w:t>
      </w:r>
      <w:r w:rsidRPr="003C358C">
        <w:rPr>
          <w:sz w:val="19"/>
          <w:szCs w:val="19"/>
        </w:rPr>
        <w:t>samples were examined by taking measurements on both sides of the sample (irradiated and non-irradiated side). This helped to verify the bulk modification of the polymer through laser treatment. There were variations observed in the spectra which were interpreted as changes in the degree of crystallinity of the polymer sample. Raman spectroscopy further verified the vibration regions observed in the FT-IR: ATR spectrum.</w:t>
      </w:r>
    </w:p>
    <w:p w14:paraId="7DBC8E62" w14:textId="68707D1A" w:rsidR="008C3ACE" w:rsidRDefault="008C3ACE" w:rsidP="009C0BF7">
      <w:pPr>
        <w:pStyle w:val="BodyText"/>
        <w:spacing w:before="117"/>
        <w:ind w:left="426"/>
        <w:jc w:val="both"/>
      </w:pPr>
    </w:p>
    <w:p w14:paraId="7DBC8E63"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39D2763A" w14:textId="77777777" w:rsidR="009C0BF7" w:rsidRDefault="009C0BF7" w:rsidP="009C0BF7">
      <w:pPr>
        <w:pStyle w:val="BodyText"/>
        <w:keepNext/>
        <w:ind w:left="1238"/>
        <w:jc w:val="center"/>
      </w:pPr>
      <w:r w:rsidRPr="004F2B4D">
        <w:rPr>
          <w:noProof/>
          <w:lang w:eastAsia="en-IE"/>
        </w:rPr>
        <w:drawing>
          <wp:inline distT="0" distB="0" distL="0" distR="0" wp14:anchorId="7D30591F" wp14:editId="23A6B6E2">
            <wp:extent cx="2700000" cy="1342996"/>
            <wp:effectExtent l="0" t="0" r="5715" b="0"/>
            <wp:docPr id="2" name="Picture 2" descr="C:\Users\S00190756\OneDrive - Institute of Technology Sligo\Experimental\PLA\FT-IR_ATR\Literature\poster on Polylactic acid_v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00190756\OneDrive - Institute of Technology Sligo\Experimental\PLA\FT-IR_ATR\Literature\poster on Polylactic acid_v002.ti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137" t="20314" r="25342" b="17332"/>
                    <a:stretch/>
                  </pic:blipFill>
                  <pic:spPr bwMode="auto">
                    <a:xfrm>
                      <a:off x="0" y="0"/>
                      <a:ext cx="2700000" cy="1342996"/>
                    </a:xfrm>
                    <a:prstGeom prst="rect">
                      <a:avLst/>
                    </a:prstGeom>
                    <a:noFill/>
                    <a:ln>
                      <a:noFill/>
                    </a:ln>
                    <a:extLst>
                      <a:ext uri="{53640926-AAD7-44D8-BBD7-CCE9431645EC}">
                        <a14:shadowObscured xmlns:a14="http://schemas.microsoft.com/office/drawing/2010/main"/>
                      </a:ext>
                    </a:extLst>
                  </pic:spPr>
                </pic:pic>
              </a:graphicData>
            </a:graphic>
          </wp:inline>
        </w:drawing>
      </w:r>
    </w:p>
    <w:p w14:paraId="2F392F1B" w14:textId="4C6833F0" w:rsidR="009C0BF7" w:rsidRPr="00B622B6" w:rsidRDefault="009C0BF7" w:rsidP="003C358C">
      <w:pPr>
        <w:pStyle w:val="Caption"/>
        <w:ind w:firstLine="720"/>
        <w:jc w:val="center"/>
        <w:rPr>
          <w:sz w:val="16"/>
          <w:szCs w:val="16"/>
        </w:rPr>
      </w:pPr>
      <w:r w:rsidRPr="00B622B6">
        <w:rPr>
          <w:sz w:val="16"/>
          <w:szCs w:val="16"/>
        </w:rPr>
        <w:t xml:space="preserve">Figure </w:t>
      </w:r>
      <w:r w:rsidRPr="00B622B6">
        <w:rPr>
          <w:sz w:val="16"/>
          <w:szCs w:val="16"/>
        </w:rPr>
        <w:fldChar w:fldCharType="begin"/>
      </w:r>
      <w:r w:rsidRPr="00B622B6">
        <w:rPr>
          <w:sz w:val="16"/>
          <w:szCs w:val="16"/>
        </w:rPr>
        <w:instrText xml:space="preserve"> SEQ Figure \* ARABIC </w:instrText>
      </w:r>
      <w:r w:rsidRPr="00B622B6">
        <w:rPr>
          <w:sz w:val="16"/>
          <w:szCs w:val="16"/>
        </w:rPr>
        <w:fldChar w:fldCharType="separate"/>
      </w:r>
      <w:r w:rsidR="003F477A">
        <w:rPr>
          <w:noProof/>
          <w:sz w:val="16"/>
          <w:szCs w:val="16"/>
        </w:rPr>
        <w:t>1</w:t>
      </w:r>
      <w:r w:rsidRPr="00B622B6">
        <w:rPr>
          <w:sz w:val="16"/>
          <w:szCs w:val="16"/>
        </w:rPr>
        <w:fldChar w:fldCharType="end"/>
      </w:r>
      <w:r w:rsidRPr="00B622B6">
        <w:rPr>
          <w:sz w:val="16"/>
          <w:szCs w:val="16"/>
        </w:rPr>
        <w:t>. Decrease in the spectrum intensity with an increase in the CO2 laser interactions</w:t>
      </w:r>
    </w:p>
    <w:p w14:paraId="7DBC8E64" w14:textId="16F46BA6" w:rsidR="008C3ACE" w:rsidRDefault="008C3ACE" w:rsidP="009C0BF7">
      <w:pPr>
        <w:pStyle w:val="BodyText"/>
        <w:ind w:left="1238"/>
        <w:jc w:val="center"/>
        <w:rPr>
          <w:sz w:val="20"/>
        </w:rPr>
      </w:pPr>
    </w:p>
    <w:p w14:paraId="7DBC8E65" w14:textId="462BBF69" w:rsidR="008C3ACE" w:rsidRPr="009C0BF7"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3C6786C5" w14:textId="77777777" w:rsidR="009C0BF7" w:rsidRPr="009C0BF7" w:rsidRDefault="009C0BF7" w:rsidP="009C0BF7">
      <w:pPr>
        <w:adjustRightInd w:val="0"/>
        <w:spacing w:after="160"/>
        <w:ind w:left="1310" w:hanging="590"/>
        <w:jc w:val="both"/>
        <w:rPr>
          <w:noProof/>
          <w:sz w:val="19"/>
          <w:szCs w:val="19"/>
        </w:rPr>
      </w:pPr>
      <w:r w:rsidRPr="009C0BF7">
        <w:rPr>
          <w:noProof/>
          <w:sz w:val="19"/>
          <w:szCs w:val="19"/>
        </w:rPr>
        <w:t>[1]</w:t>
      </w:r>
      <w:r w:rsidRPr="009C0BF7">
        <w:rPr>
          <w:noProof/>
          <w:sz w:val="19"/>
          <w:szCs w:val="19"/>
        </w:rPr>
        <w:tab/>
        <w:t xml:space="preserve">M. A. Elsawy, K. H. Kim, J. W. Park and A. Deep, Hydrolytic degradation of polylactic acid (PLA) and its composites, </w:t>
      </w:r>
      <w:r w:rsidRPr="009C0BF7">
        <w:rPr>
          <w:i/>
          <w:iCs/>
          <w:noProof/>
          <w:sz w:val="19"/>
          <w:szCs w:val="19"/>
        </w:rPr>
        <w:t>Renewable and Sustainable Energy Reviews</w:t>
      </w:r>
      <w:r w:rsidRPr="009C0BF7">
        <w:rPr>
          <w:noProof/>
          <w:sz w:val="19"/>
          <w:szCs w:val="19"/>
        </w:rPr>
        <w:t xml:space="preserve"> </w:t>
      </w:r>
      <w:r w:rsidRPr="009C0BF7">
        <w:rPr>
          <w:b/>
          <w:noProof/>
          <w:sz w:val="19"/>
          <w:szCs w:val="19"/>
        </w:rPr>
        <w:t xml:space="preserve">79 </w:t>
      </w:r>
      <w:r w:rsidRPr="009C0BF7">
        <w:rPr>
          <w:noProof/>
          <w:sz w:val="19"/>
          <w:szCs w:val="19"/>
        </w:rPr>
        <w:t>(2017), 1346–1352.</w:t>
      </w:r>
    </w:p>
    <w:p w14:paraId="6AA9FDD1" w14:textId="77777777" w:rsidR="009C0BF7" w:rsidRPr="009C0BF7" w:rsidRDefault="009C0BF7" w:rsidP="009C0BF7">
      <w:pPr>
        <w:adjustRightInd w:val="0"/>
        <w:spacing w:after="160"/>
        <w:ind w:left="1310" w:hanging="590"/>
        <w:jc w:val="both"/>
        <w:rPr>
          <w:noProof/>
          <w:sz w:val="19"/>
          <w:szCs w:val="19"/>
        </w:rPr>
      </w:pPr>
      <w:r w:rsidRPr="009C0BF7">
        <w:rPr>
          <w:noProof/>
          <w:sz w:val="19"/>
          <w:szCs w:val="19"/>
        </w:rPr>
        <w:t>[2]</w:t>
      </w:r>
      <w:r w:rsidRPr="009C0BF7">
        <w:rPr>
          <w:noProof/>
          <w:sz w:val="19"/>
          <w:szCs w:val="19"/>
        </w:rPr>
        <w:tab/>
        <w:t xml:space="preserve">K. M. . Nampoothiri, R. N. . Nimisha, and P. J. Rojan, An overview of the recent developments in polylactide (PLA) research, </w:t>
      </w:r>
      <w:r w:rsidRPr="009C0BF7">
        <w:rPr>
          <w:i/>
          <w:iCs/>
          <w:noProof/>
          <w:sz w:val="19"/>
          <w:szCs w:val="19"/>
        </w:rPr>
        <w:t>Bioresource Technology</w:t>
      </w:r>
      <w:r w:rsidRPr="009C0BF7">
        <w:rPr>
          <w:noProof/>
          <w:sz w:val="19"/>
          <w:szCs w:val="19"/>
        </w:rPr>
        <w:t xml:space="preserve"> </w:t>
      </w:r>
      <w:r w:rsidRPr="009C0BF7">
        <w:rPr>
          <w:b/>
          <w:noProof/>
          <w:sz w:val="19"/>
          <w:szCs w:val="19"/>
        </w:rPr>
        <w:t>101</w:t>
      </w:r>
      <w:r w:rsidRPr="009C0BF7">
        <w:rPr>
          <w:noProof/>
          <w:sz w:val="19"/>
          <w:szCs w:val="19"/>
        </w:rPr>
        <w:t xml:space="preserve"> (2010), 8493–501.</w:t>
      </w:r>
    </w:p>
    <w:p w14:paraId="167B3B5B" w14:textId="77777777" w:rsidR="009C0BF7" w:rsidRPr="009C0BF7" w:rsidRDefault="009C0BF7" w:rsidP="009C0BF7">
      <w:pPr>
        <w:adjustRightInd w:val="0"/>
        <w:spacing w:after="160"/>
        <w:ind w:left="1310" w:hanging="590"/>
        <w:jc w:val="both"/>
        <w:rPr>
          <w:noProof/>
          <w:sz w:val="19"/>
          <w:szCs w:val="19"/>
        </w:rPr>
      </w:pPr>
      <w:r w:rsidRPr="009C0BF7">
        <w:rPr>
          <w:noProof/>
          <w:sz w:val="19"/>
          <w:szCs w:val="19"/>
        </w:rPr>
        <w:t>[3]</w:t>
      </w:r>
      <w:r w:rsidRPr="009C0BF7">
        <w:rPr>
          <w:noProof/>
          <w:sz w:val="19"/>
          <w:szCs w:val="19"/>
        </w:rPr>
        <w:tab/>
        <w:t xml:space="preserve">P. Benyathiar, S. Selke, and R. Auras, The Effect of Gamma and Electron Beam Irradiation on the Biodegradability of PLA Films, </w:t>
      </w:r>
      <w:r w:rsidRPr="009C0BF7">
        <w:rPr>
          <w:i/>
          <w:iCs/>
          <w:noProof/>
          <w:sz w:val="19"/>
          <w:szCs w:val="19"/>
        </w:rPr>
        <w:t>Journal of Polymers and the Environment</w:t>
      </w:r>
      <w:r w:rsidRPr="009C0BF7">
        <w:rPr>
          <w:noProof/>
          <w:sz w:val="19"/>
          <w:szCs w:val="19"/>
        </w:rPr>
        <w:t xml:space="preserve"> </w:t>
      </w:r>
      <w:r w:rsidRPr="009C0BF7">
        <w:rPr>
          <w:b/>
          <w:noProof/>
          <w:sz w:val="19"/>
          <w:szCs w:val="19"/>
        </w:rPr>
        <w:t>24</w:t>
      </w:r>
      <w:r w:rsidRPr="009C0BF7">
        <w:rPr>
          <w:noProof/>
          <w:sz w:val="19"/>
          <w:szCs w:val="19"/>
        </w:rPr>
        <w:t xml:space="preserve"> (2016) 230–240.</w:t>
      </w:r>
    </w:p>
    <w:p w14:paraId="7DBC8E6E" w14:textId="181F02AD" w:rsidR="008C3ACE" w:rsidRDefault="009C0BF7" w:rsidP="009C0BF7">
      <w:pPr>
        <w:adjustRightInd w:val="0"/>
        <w:ind w:left="1310" w:hanging="633"/>
        <w:jc w:val="both"/>
        <w:rPr>
          <w:noProof/>
          <w:sz w:val="19"/>
          <w:szCs w:val="19"/>
        </w:rPr>
      </w:pPr>
      <w:r>
        <w:rPr>
          <w:noProof/>
          <w:sz w:val="19"/>
          <w:szCs w:val="19"/>
        </w:rPr>
        <w:t>[4]</w:t>
      </w:r>
      <w:r>
        <w:rPr>
          <w:noProof/>
          <w:sz w:val="19"/>
          <w:szCs w:val="19"/>
        </w:rPr>
        <w:tab/>
      </w:r>
      <w:r w:rsidRPr="009C0BF7">
        <w:rPr>
          <w:noProof/>
          <w:sz w:val="19"/>
          <w:szCs w:val="19"/>
        </w:rPr>
        <w:t>M. Negrin, E. Macerata, G. Consolati, F. Quasso, L. Genovese, M.Soccio, M. Giola, N. Lotti, A. Munari and M. Mariani, Gamma radiation effects on random copolymers based on poly(butylene succina</w:t>
      </w:r>
      <w:r w:rsidR="003F477A">
        <w:rPr>
          <w:noProof/>
          <w:sz w:val="19"/>
          <w:szCs w:val="19"/>
        </w:rPr>
        <w:t>te) for packaging applications,</w:t>
      </w:r>
      <w:bookmarkStart w:id="0" w:name="_GoBack"/>
      <w:bookmarkEnd w:id="0"/>
      <w:r w:rsidRPr="009C0BF7">
        <w:rPr>
          <w:noProof/>
          <w:sz w:val="19"/>
          <w:szCs w:val="19"/>
        </w:rPr>
        <w:t xml:space="preserve"> </w:t>
      </w:r>
      <w:r w:rsidRPr="009C0BF7">
        <w:rPr>
          <w:i/>
          <w:iCs/>
          <w:noProof/>
          <w:sz w:val="19"/>
          <w:szCs w:val="19"/>
        </w:rPr>
        <w:t>Radiation Physics and Chemistry</w:t>
      </w:r>
      <w:r w:rsidRPr="009C0BF7">
        <w:rPr>
          <w:noProof/>
          <w:sz w:val="19"/>
          <w:szCs w:val="19"/>
        </w:rPr>
        <w:t xml:space="preserve"> </w:t>
      </w:r>
      <w:r w:rsidRPr="009C0BF7">
        <w:rPr>
          <w:b/>
          <w:noProof/>
          <w:sz w:val="19"/>
          <w:szCs w:val="19"/>
        </w:rPr>
        <w:t>142</w:t>
      </w:r>
      <w:r w:rsidRPr="009C0BF7">
        <w:rPr>
          <w:noProof/>
          <w:sz w:val="19"/>
          <w:szCs w:val="19"/>
        </w:rPr>
        <w:t xml:space="preserve"> (2018) 34–43.</w:t>
      </w:r>
    </w:p>
    <w:p w14:paraId="3CA19A4E" w14:textId="77777777" w:rsidR="009C0BF7" w:rsidRPr="009C0BF7" w:rsidRDefault="009C0BF7" w:rsidP="009C0BF7">
      <w:pPr>
        <w:adjustRightInd w:val="0"/>
        <w:ind w:left="1310" w:hanging="633"/>
        <w:jc w:val="both"/>
        <w:rPr>
          <w:noProof/>
          <w:sz w:val="19"/>
          <w:szCs w:val="19"/>
        </w:rPr>
      </w:pPr>
    </w:p>
    <w:p w14:paraId="7DBC8E6F" w14:textId="77777777" w:rsidR="008C3ACE" w:rsidRDefault="00B5063E">
      <w:pPr>
        <w:pStyle w:val="Heading3"/>
        <w:numPr>
          <w:ilvl w:val="0"/>
          <w:numId w:val="1"/>
        </w:numPr>
        <w:tabs>
          <w:tab w:val="left" w:pos="1758"/>
        </w:tabs>
        <w:ind w:left="1757"/>
        <w:jc w:val="left"/>
      </w:pPr>
      <w:r>
        <w:rPr>
          <w:color w:val="585858"/>
        </w:rPr>
        <w:t>Biography:</w:t>
      </w:r>
    </w:p>
    <w:p w14:paraId="7DBC8E71" w14:textId="06AB9883" w:rsidR="008C3ACE" w:rsidRDefault="009D40E8" w:rsidP="009D40E8">
      <w:pPr>
        <w:pStyle w:val="BodyText"/>
        <w:spacing w:before="119"/>
        <w:ind w:left="316" w:right="381"/>
        <w:jc w:val="both"/>
      </w:pPr>
      <w:r w:rsidRPr="00750296">
        <w:t>Foram Dave has completed her bachelor of engineering in Rubber Technology (2009-13) from Gujarat Technological University and master of technology in Polymer Science and Engineering from Indian Institute of Technology, Delhi, India (2014-16). Her master thesis was based on biodegradable polymers for biomedical applications. She worked as a senior engineer (2016-18) at Robert Bosch Engineering and Business Solutions Pvt. Ltd in Automotive Electronics department dealing with sealants, thermal interface material and conformal coating. She joined Ph.D. at Institute of Technology Sligo</w:t>
      </w:r>
      <w:r w:rsidR="003F477A">
        <w:t>, Ireland</w:t>
      </w:r>
      <w:r w:rsidRPr="00750296">
        <w:t xml:space="preserve"> in September 2018 in the field of Laser Transmission Welding of Polymers along with Abbott diagnostics.</w:t>
      </w:r>
    </w:p>
    <w:p w14:paraId="7BDB8A4E" w14:textId="77777777" w:rsidR="009D40E8" w:rsidRPr="009D40E8" w:rsidRDefault="009D40E8" w:rsidP="009D40E8">
      <w:pPr>
        <w:pStyle w:val="BodyText"/>
        <w:spacing w:before="119"/>
        <w:ind w:left="316" w:right="381"/>
        <w:jc w:val="both"/>
      </w:pPr>
    </w:p>
    <w:p w14:paraId="7DBC8E72" w14:textId="2F265056" w:rsidR="008C3ACE" w:rsidRDefault="00A4379A">
      <w:pPr>
        <w:pStyle w:val="Heading3"/>
        <w:numPr>
          <w:ilvl w:val="0"/>
          <w:numId w:val="1"/>
        </w:numPr>
        <w:tabs>
          <w:tab w:val="left" w:pos="1757"/>
          <w:tab w:val="left" w:pos="1758"/>
        </w:tabs>
        <w:spacing w:before="1"/>
        <w:ind w:left="1757"/>
        <w:jc w:val="left"/>
      </w:pPr>
      <w:r w:rsidRPr="00B51FDD">
        <w:rPr>
          <w:noProof/>
          <w:lang w:eastAsia="en-IE"/>
        </w:rPr>
        <w:drawing>
          <wp:anchor distT="0" distB="0" distL="114300" distR="114300" simplePos="0" relativeHeight="251662336" behindDoc="0" locked="0" layoutInCell="1" allowOverlap="1" wp14:anchorId="0A3C3102" wp14:editId="79EFBE5C">
            <wp:simplePos x="0" y="0"/>
            <wp:positionH relativeFrom="column">
              <wp:posOffset>1590675</wp:posOffset>
            </wp:positionH>
            <wp:positionV relativeFrom="paragraph">
              <wp:posOffset>139065</wp:posOffset>
            </wp:positionV>
            <wp:extent cx="1080000" cy="1280016"/>
            <wp:effectExtent l="0" t="0" r="6350" b="0"/>
            <wp:wrapNone/>
            <wp:docPr id="1" name="Picture 1" descr="H:\Foram_IT_Sl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Foram_IT_Slig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3571" b="10024"/>
                    <a:stretch/>
                  </pic:blipFill>
                  <pic:spPr bwMode="auto">
                    <a:xfrm>
                      <a:off x="0" y="0"/>
                      <a:ext cx="1080000" cy="12800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063E">
        <w:rPr>
          <w:color w:val="585858"/>
        </w:rPr>
        <w:t>Presenting author</w:t>
      </w:r>
      <w:r w:rsidR="00B5063E">
        <w:rPr>
          <w:color w:val="585858"/>
          <w:spacing w:val="-7"/>
        </w:rPr>
        <w:t xml:space="preserve"> </w:t>
      </w:r>
      <w:r w:rsidR="00B5063E">
        <w:rPr>
          <w:color w:val="585858"/>
        </w:rPr>
        <w:t>details</w:t>
      </w:r>
    </w:p>
    <w:p w14:paraId="7DBC8E73" w14:textId="0D5C75F8" w:rsidR="008C3ACE" w:rsidRDefault="008C3ACE" w:rsidP="00A4379A">
      <w:pPr>
        <w:pStyle w:val="Heading2"/>
        <w:rPr>
          <w:b/>
          <w:sz w:val="15"/>
        </w:rPr>
      </w:pPr>
    </w:p>
    <w:p w14:paraId="5DDAB966" w14:textId="3137FDC6" w:rsidR="006C628F" w:rsidRPr="0072527A" w:rsidRDefault="00B5063E" w:rsidP="0072527A">
      <w:pPr>
        <w:pStyle w:val="BodyText"/>
        <w:ind w:left="316" w:right="4143"/>
        <w:rPr>
          <w:color w:val="585858"/>
        </w:rPr>
      </w:pPr>
      <w:r w:rsidRPr="0072527A">
        <w:rPr>
          <w:color w:val="585858"/>
        </w:rPr>
        <w:t xml:space="preserve">Full Name: </w:t>
      </w:r>
      <w:r w:rsidR="006C628F" w:rsidRPr="0072527A">
        <w:rPr>
          <w:color w:val="585858"/>
        </w:rPr>
        <w:t>Foram Navalbhai Dave</w:t>
      </w:r>
    </w:p>
    <w:p w14:paraId="5A3200C3" w14:textId="1863404E" w:rsidR="006C628F" w:rsidRPr="0072527A" w:rsidRDefault="00B5063E" w:rsidP="0072527A">
      <w:pPr>
        <w:pStyle w:val="BodyText"/>
        <w:spacing w:before="172"/>
        <w:ind w:left="316" w:right="4143"/>
        <w:rPr>
          <w:color w:val="585858"/>
        </w:rPr>
      </w:pPr>
      <w:r w:rsidRPr="0072527A">
        <w:rPr>
          <w:color w:val="585858"/>
        </w:rPr>
        <w:t>Contact number:</w:t>
      </w:r>
      <w:r w:rsidR="0072527A">
        <w:rPr>
          <w:color w:val="585858"/>
        </w:rPr>
        <w:t xml:space="preserve"> </w:t>
      </w:r>
      <w:r w:rsidR="006C628F" w:rsidRPr="0072527A">
        <w:rPr>
          <w:color w:val="585858"/>
        </w:rPr>
        <w:t>+91-9898864584</w:t>
      </w:r>
    </w:p>
    <w:p w14:paraId="7DBC8E74" w14:textId="151AE1AF" w:rsidR="008C3ACE" w:rsidRPr="0072527A" w:rsidRDefault="00B5063E" w:rsidP="0072527A">
      <w:pPr>
        <w:pStyle w:val="BodyText"/>
        <w:spacing w:before="172"/>
        <w:ind w:left="316" w:right="4143"/>
        <w:rPr>
          <w:color w:val="585858"/>
        </w:rPr>
      </w:pPr>
      <w:r w:rsidRPr="0072527A">
        <w:rPr>
          <w:color w:val="585858"/>
        </w:rPr>
        <w:t>Linked In account:</w:t>
      </w:r>
      <w:r w:rsidR="0072527A">
        <w:rPr>
          <w:color w:val="585858"/>
        </w:rPr>
        <w:t xml:space="preserve"> </w:t>
      </w:r>
      <w:hyperlink r:id="rId9" w:history="1">
        <w:r w:rsidR="0072527A" w:rsidRPr="0053762C">
          <w:rPr>
            <w:rStyle w:val="Hyperlink"/>
          </w:rPr>
          <w:t>https://www.linkedin.com/in</w:t>
        </w:r>
        <w:r w:rsidR="0072527A" w:rsidRPr="0053762C">
          <w:rPr>
            <w:rStyle w:val="Hyperlink"/>
          </w:rPr>
          <w:t>/</w:t>
        </w:r>
        <w:r w:rsidR="0072527A" w:rsidRPr="0053762C">
          <w:rPr>
            <w:rStyle w:val="Hyperlink"/>
          </w:rPr>
          <w:t>foram-dave-f1991d</w:t>
        </w:r>
      </w:hyperlink>
      <w:r w:rsidR="0072527A">
        <w:rPr>
          <w:color w:val="585858"/>
        </w:rPr>
        <w:t xml:space="preserve"> </w:t>
      </w:r>
    </w:p>
    <w:p w14:paraId="7DBC8E75" w14:textId="77777777" w:rsidR="008C3ACE" w:rsidRPr="0072527A" w:rsidRDefault="00B5063E" w:rsidP="0072527A">
      <w:pPr>
        <w:pStyle w:val="BodyText"/>
        <w:ind w:left="316"/>
      </w:pPr>
      <w:r w:rsidRPr="0072527A">
        <w:rPr>
          <w:color w:val="585858"/>
        </w:rPr>
        <w:t>Session name/ number:</w:t>
      </w:r>
    </w:p>
    <w:p w14:paraId="427954FF" w14:textId="3ED5C980" w:rsidR="006C628F" w:rsidRPr="0072527A" w:rsidRDefault="00B5063E" w:rsidP="0072527A">
      <w:pPr>
        <w:pStyle w:val="BodyText"/>
        <w:ind w:left="316" w:right="1786"/>
        <w:rPr>
          <w:color w:val="585858"/>
        </w:rPr>
      </w:pPr>
      <w:r w:rsidRPr="0072527A">
        <w:rPr>
          <w:color w:val="585858"/>
        </w:rPr>
        <w:t>Category: Oral presentation</w:t>
      </w:r>
    </w:p>
    <w:p w14:paraId="7DBC8E76" w14:textId="1FF1A59E" w:rsidR="008C3ACE" w:rsidRPr="0072527A" w:rsidRDefault="00B5063E" w:rsidP="0072527A">
      <w:pPr>
        <w:pStyle w:val="BodyText"/>
        <w:ind w:left="316" w:right="1786"/>
      </w:pPr>
      <w:r w:rsidRPr="0072527A">
        <w:rPr>
          <w:color w:val="585858"/>
        </w:rPr>
        <w:t>Passport Number:</w:t>
      </w:r>
      <w:r w:rsidR="0011727C" w:rsidRPr="0072527A">
        <w:rPr>
          <w:color w:val="585858"/>
        </w:rPr>
        <w:t xml:space="preserve"> L2669803</w:t>
      </w:r>
    </w:p>
    <w:p w14:paraId="7DBC8E77" w14:textId="77777777"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14:paraId="7DBC8E78" w14:textId="77777777" w:rsidR="008C3ACE" w:rsidRDefault="008C3ACE">
      <w:pPr>
        <w:pStyle w:val="BodyText"/>
        <w:rPr>
          <w:sz w:val="20"/>
        </w:rPr>
      </w:pPr>
    </w:p>
    <w:p w14:paraId="7DBC8E88" w14:textId="32E37AEC" w:rsidR="007B475C" w:rsidRDefault="007B475C" w:rsidP="009C0BF7">
      <w:pPr>
        <w:pStyle w:val="BodyText"/>
        <w:spacing w:line="55" w:lineRule="exact"/>
        <w:rPr>
          <w:sz w:val="5"/>
        </w:rPr>
      </w:pPr>
    </w:p>
    <w:p w14:paraId="7DBC8E8A" w14:textId="5F445A5E" w:rsidR="007B475C" w:rsidRDefault="007B475C" w:rsidP="00B5063E">
      <w:pPr>
        <w:rPr>
          <w:color w:val="333333"/>
          <w:sz w:val="18"/>
          <w:szCs w:val="18"/>
        </w:rPr>
      </w:pPr>
      <w:r>
        <w:rPr>
          <w:noProof/>
          <w:sz w:val="5"/>
          <w:lang w:val="en-IE" w:eastAsia="en-IE"/>
        </w:rPr>
        <mc:AlternateContent>
          <mc:Choice Requires="wpg">
            <w:drawing>
              <wp:anchor distT="0" distB="0" distL="114300" distR="114300" simplePos="0" relativeHeight="251656192" behindDoc="1" locked="0" layoutInCell="1" allowOverlap="1" wp14:anchorId="7DBC8E93" wp14:editId="7DBC8E94">
                <wp:simplePos x="0" y="0"/>
                <wp:positionH relativeFrom="column">
                  <wp:posOffset>88265</wp:posOffset>
                </wp:positionH>
                <wp:positionV relativeFrom="paragraph">
                  <wp:posOffset>108585</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C1C76E" id="Group 2" o:spid="_x0000_s1026" style="position:absolute;margin-left:6.95pt;margin-top:8.55pt;width:569pt;height:2.75pt;z-index:-25166028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14:paraId="7DBC8E8C" w14:textId="353E4B0C" w:rsidR="008C3ACE" w:rsidRPr="00A4379A" w:rsidRDefault="00623973" w:rsidP="00A4379A">
      <w:pPr>
        <w:rPr>
          <w:color w:val="333333"/>
          <w:sz w:val="18"/>
          <w:szCs w:val="18"/>
        </w:rPr>
      </w:pPr>
      <w:r>
        <w:rPr>
          <w:noProof/>
          <w:color w:val="333333"/>
          <w:sz w:val="18"/>
          <w:szCs w:val="18"/>
          <w:lang w:val="en-IE" w:eastAsia="en-IE"/>
        </w:rPr>
        <w:drawing>
          <wp:inline distT="0" distB="0" distL="0" distR="0" wp14:anchorId="7DBC8E95" wp14:editId="7DBC8E96">
            <wp:extent cx="7343350" cy="795130"/>
            <wp:effectExtent l="0" t="0" r="0" b="5080"/>
            <wp:docPr id="12" name="Picture 12" descr="\\omicswb-0252\Pallab Temp Share\santosh\Foote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micswb-0252\Pallab Temp Share\santosh\Footer Head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9650" cy="796895"/>
                    </a:xfrm>
                    <a:prstGeom prst="rect">
                      <a:avLst/>
                    </a:prstGeom>
                    <a:noFill/>
                    <a:ln>
                      <a:noFill/>
                    </a:ln>
                  </pic:spPr>
                </pic:pic>
              </a:graphicData>
            </a:graphic>
          </wp:inline>
        </w:drawing>
      </w:r>
    </w:p>
    <w:sectPr w:rsidR="008C3ACE" w:rsidRPr="00A4379A"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0NDI3MzYztTC2MDRU0lEKTi0uzszPAykwrAUArD9t4ywAAAA="/>
  </w:docVars>
  <w:rsids>
    <w:rsidRoot w:val="008C3ACE"/>
    <w:rsid w:val="0003091D"/>
    <w:rsid w:val="0011727C"/>
    <w:rsid w:val="0016261F"/>
    <w:rsid w:val="0022441A"/>
    <w:rsid w:val="003C358C"/>
    <w:rsid w:val="003F477A"/>
    <w:rsid w:val="00432F28"/>
    <w:rsid w:val="004C6BB5"/>
    <w:rsid w:val="0058095B"/>
    <w:rsid w:val="00623973"/>
    <w:rsid w:val="006C628F"/>
    <w:rsid w:val="0072527A"/>
    <w:rsid w:val="007B475C"/>
    <w:rsid w:val="008C3ACE"/>
    <w:rsid w:val="00935715"/>
    <w:rsid w:val="009C0BF7"/>
    <w:rsid w:val="009D40E8"/>
    <w:rsid w:val="009D7910"/>
    <w:rsid w:val="009F3FAE"/>
    <w:rsid w:val="00A26704"/>
    <w:rsid w:val="00A4379A"/>
    <w:rsid w:val="00AF1B1D"/>
    <w:rsid w:val="00B5063E"/>
    <w:rsid w:val="00B622B6"/>
    <w:rsid w:val="00CD2435"/>
    <w:rsid w:val="00E3650A"/>
    <w:rsid w:val="00EC4830"/>
    <w:rsid w:val="00EF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8E52"/>
  <w15:docId w15:val="{1EAE4CB4-D273-402B-9EFE-47816824A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styleId="Caption">
    <w:name w:val="caption"/>
    <w:basedOn w:val="Normal"/>
    <w:next w:val="Normal"/>
    <w:uiPriority w:val="35"/>
    <w:semiHidden/>
    <w:unhideWhenUsed/>
    <w:qFormat/>
    <w:rsid w:val="009C0BF7"/>
    <w:pPr>
      <w:spacing w:after="200"/>
    </w:pPr>
    <w:rPr>
      <w:i/>
      <w:iCs/>
      <w:color w:val="1F497D" w:themeColor="text2"/>
      <w:sz w:val="18"/>
      <w:szCs w:val="18"/>
    </w:rPr>
  </w:style>
  <w:style w:type="character" w:styleId="FollowedHyperlink">
    <w:name w:val="FollowedHyperlink"/>
    <w:basedOn w:val="DefaultParagraphFont"/>
    <w:uiPriority w:val="99"/>
    <w:semiHidden/>
    <w:unhideWhenUsed/>
    <w:rsid w:val="00CD24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www.linkedin.com/in/foram-dave-f1991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2037</Words>
  <Characters>11615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13625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Foram Dave</cp:lastModifiedBy>
  <cp:revision>13</cp:revision>
  <cp:lastPrinted>2019-05-01T16:04:00Z</cp:lastPrinted>
  <dcterms:created xsi:type="dcterms:W3CDTF">2018-09-18T06:53:00Z</dcterms:created>
  <dcterms:modified xsi:type="dcterms:W3CDTF">2019-05-01T16:18:00Z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