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838" w:rsidRPr="00735838" w:rsidRDefault="00735838" w:rsidP="00735838">
      <w:pPr>
        <w:pStyle w:val="NoSpacing"/>
        <w:rPr>
          <w:b/>
          <w:sz w:val="20"/>
          <w:szCs w:val="20"/>
          <w:lang w:val="en-US"/>
        </w:rPr>
      </w:pPr>
      <w:r w:rsidRPr="00735838">
        <w:rPr>
          <w:b/>
          <w:sz w:val="20"/>
          <w:szCs w:val="20"/>
          <w:lang w:val="en-US"/>
        </w:rPr>
        <w:t xml:space="preserve">Title: Star-shaped </w:t>
      </w:r>
      <w:proofErr w:type="spellStart"/>
      <w:r w:rsidRPr="00735838">
        <w:rPr>
          <w:b/>
          <w:sz w:val="20"/>
          <w:szCs w:val="20"/>
          <w:lang w:val="en-US"/>
        </w:rPr>
        <w:t>fluorene</w:t>
      </w:r>
      <w:proofErr w:type="spellEnd"/>
      <w:r w:rsidRPr="00735838">
        <w:rPr>
          <w:b/>
          <w:sz w:val="20"/>
          <w:szCs w:val="20"/>
          <w:lang w:val="en-US"/>
        </w:rPr>
        <w:t>-BODIPY oligomers: versatile donor-acceptor systems for luminescent solar concentrators</w:t>
      </w:r>
    </w:p>
    <w:p w:rsidR="00735838" w:rsidRPr="00735838" w:rsidRDefault="00735838" w:rsidP="00735838">
      <w:pPr>
        <w:pStyle w:val="NoSpacing"/>
        <w:rPr>
          <w:sz w:val="20"/>
          <w:szCs w:val="20"/>
          <w:vertAlign w:val="superscript"/>
          <w:lang w:val="en-US"/>
        </w:rPr>
      </w:pPr>
      <w:r w:rsidRPr="00735838">
        <w:rPr>
          <w:sz w:val="20"/>
          <w:szCs w:val="20"/>
          <w:u w:val="single"/>
          <w:lang w:val="en-US"/>
        </w:rPr>
        <w:t>Nathaniel J. L. K. Davis</w:t>
      </w:r>
      <w:r w:rsidRPr="00735838">
        <w:rPr>
          <w:sz w:val="20"/>
          <w:szCs w:val="20"/>
          <w:u w:val="single"/>
          <w:vertAlign w:val="superscript"/>
          <w:lang w:val="en-US"/>
        </w:rPr>
        <w:t>1</w:t>
      </w:r>
      <w:r w:rsidRPr="00735838">
        <w:rPr>
          <w:sz w:val="20"/>
          <w:szCs w:val="20"/>
          <w:lang w:val="en-US"/>
        </w:rPr>
        <w:t>, Rowan W. MacQueen</w:t>
      </w:r>
      <w:r w:rsidRPr="00735838">
        <w:rPr>
          <w:sz w:val="20"/>
          <w:szCs w:val="20"/>
          <w:vertAlign w:val="superscript"/>
          <w:lang w:val="en-US"/>
        </w:rPr>
        <w:t>2</w:t>
      </w:r>
      <w:r w:rsidRPr="00735838">
        <w:rPr>
          <w:sz w:val="20"/>
          <w:szCs w:val="20"/>
          <w:lang w:val="en-US"/>
        </w:rPr>
        <w:t xml:space="preserve">, Saul </w:t>
      </w:r>
      <w:r w:rsidRPr="00735838">
        <w:rPr>
          <w:color w:val="000000" w:themeColor="text1"/>
          <w:sz w:val="20"/>
          <w:szCs w:val="20"/>
          <w:lang w:val="en-US"/>
        </w:rPr>
        <w:t>T. E. Jones</w:t>
      </w:r>
      <w:r w:rsidRPr="00735838">
        <w:rPr>
          <w:color w:val="000000" w:themeColor="text1"/>
          <w:sz w:val="20"/>
          <w:szCs w:val="20"/>
          <w:vertAlign w:val="superscript"/>
          <w:lang w:val="en-US"/>
        </w:rPr>
        <w:t>3</w:t>
      </w:r>
      <w:r w:rsidRPr="00735838">
        <w:rPr>
          <w:color w:val="000000" w:themeColor="text1"/>
          <w:sz w:val="20"/>
          <w:szCs w:val="20"/>
          <w:lang w:val="en-US"/>
        </w:rPr>
        <w:t xml:space="preserve">, </w:t>
      </w:r>
      <w:r w:rsidRPr="00735838">
        <w:rPr>
          <w:rFonts w:cs="Arial"/>
          <w:color w:val="000000" w:themeColor="text1"/>
          <w:sz w:val="20"/>
          <w:szCs w:val="20"/>
          <w:shd w:val="clear" w:color="auto" w:fill="FFFFFF"/>
          <w:lang w:val="en-US"/>
        </w:rPr>
        <w:t>Rupert Taylor</w:t>
      </w:r>
      <w:r w:rsidRPr="00735838">
        <w:rPr>
          <w:rFonts w:cs="Arial"/>
          <w:color w:val="000000" w:themeColor="text1"/>
          <w:sz w:val="20"/>
          <w:szCs w:val="20"/>
          <w:shd w:val="clear" w:color="auto" w:fill="FFFFFF"/>
          <w:vertAlign w:val="superscript"/>
          <w:lang w:val="en-US"/>
        </w:rPr>
        <w:t>4</w:t>
      </w:r>
      <w:r w:rsidRPr="00735838">
        <w:rPr>
          <w:color w:val="000000" w:themeColor="text1"/>
          <w:sz w:val="20"/>
          <w:szCs w:val="20"/>
          <w:lang w:val="en-US"/>
        </w:rPr>
        <w:t xml:space="preserve">, </w:t>
      </w:r>
      <w:r w:rsidRPr="00735838">
        <w:rPr>
          <w:sz w:val="20"/>
          <w:szCs w:val="20"/>
          <w:lang w:val="en-US"/>
        </w:rPr>
        <w:t>Dan Credgington</w:t>
      </w:r>
      <w:r w:rsidRPr="00735838">
        <w:rPr>
          <w:sz w:val="20"/>
          <w:szCs w:val="20"/>
          <w:vertAlign w:val="superscript"/>
          <w:lang w:val="en-US"/>
        </w:rPr>
        <w:t>3</w:t>
      </w:r>
      <w:r w:rsidRPr="00735838">
        <w:rPr>
          <w:sz w:val="20"/>
          <w:szCs w:val="20"/>
          <w:lang w:val="en-US"/>
        </w:rPr>
        <w:t>, Peter J. Skabara</w:t>
      </w:r>
      <w:r w:rsidRPr="00735838">
        <w:rPr>
          <w:sz w:val="20"/>
          <w:szCs w:val="20"/>
          <w:vertAlign w:val="superscript"/>
          <w:lang w:val="en-US"/>
        </w:rPr>
        <w:t>4</w:t>
      </w:r>
      <w:r w:rsidRPr="00735838">
        <w:rPr>
          <w:sz w:val="20"/>
          <w:szCs w:val="20"/>
          <w:lang w:val="en-US"/>
        </w:rPr>
        <w:t xml:space="preserve"> and Neil C. Greenham</w:t>
      </w:r>
      <w:r w:rsidRPr="00735838">
        <w:rPr>
          <w:sz w:val="20"/>
          <w:szCs w:val="20"/>
          <w:vertAlign w:val="superscript"/>
          <w:lang w:val="en-US"/>
        </w:rPr>
        <w:t>3</w:t>
      </w:r>
    </w:p>
    <w:p w:rsidR="00735838" w:rsidRPr="00735838" w:rsidRDefault="00735838" w:rsidP="00735838">
      <w:pPr>
        <w:pStyle w:val="NoSpacing"/>
        <w:rPr>
          <w:sz w:val="20"/>
          <w:szCs w:val="20"/>
          <w:lang w:val="en-US"/>
        </w:rPr>
      </w:pPr>
    </w:p>
    <w:p w:rsidR="00735838" w:rsidRPr="00735838" w:rsidRDefault="00735838" w:rsidP="00735838">
      <w:pPr>
        <w:pStyle w:val="NoSpacing"/>
        <w:rPr>
          <w:rFonts w:ascii="Times New Roman" w:hAnsi="Times New Roman" w:cs="Times New Roman"/>
          <w:bCs/>
          <w:sz w:val="20"/>
          <w:szCs w:val="20"/>
          <w:shd w:val="clear" w:color="auto" w:fill="FFFFFF"/>
          <w:lang w:val="en-US"/>
        </w:rPr>
      </w:pPr>
      <w:r w:rsidRPr="00735838">
        <w:rPr>
          <w:rFonts w:ascii="Times New Roman" w:hAnsi="Times New Roman" w:cs="Times New Roman"/>
          <w:bCs/>
          <w:sz w:val="20"/>
          <w:szCs w:val="20"/>
          <w:shd w:val="clear" w:color="auto" w:fill="FFFFFF"/>
          <w:vertAlign w:val="superscript"/>
          <w:lang w:val="en-US"/>
        </w:rPr>
        <w:t>1</w:t>
      </w:r>
      <w:r w:rsidRPr="00735838">
        <w:rPr>
          <w:rFonts w:ascii="Times New Roman" w:hAnsi="Times New Roman" w:cs="Times New Roman"/>
          <w:bCs/>
          <w:sz w:val="20"/>
          <w:szCs w:val="20"/>
          <w:shd w:val="clear" w:color="auto" w:fill="FFFFFF"/>
          <w:lang w:val="en-US"/>
        </w:rPr>
        <w:t>School of Chemical and Physical Sciences, Victoria University of Wellington, Wellington 6140, New Zealand</w:t>
      </w:r>
    </w:p>
    <w:p w:rsidR="00735838" w:rsidRPr="00735838" w:rsidRDefault="00735838" w:rsidP="00735838">
      <w:pPr>
        <w:pStyle w:val="NoSpacing"/>
        <w:rPr>
          <w:rFonts w:ascii="Times New Roman" w:hAnsi="Times New Roman" w:cs="Times New Roman"/>
          <w:bCs/>
          <w:sz w:val="20"/>
          <w:szCs w:val="20"/>
          <w:shd w:val="clear" w:color="auto" w:fill="FFFFFF"/>
          <w:lang w:val="en-US"/>
        </w:rPr>
      </w:pPr>
      <w:r w:rsidRPr="00735838">
        <w:rPr>
          <w:rFonts w:ascii="Times New Roman" w:hAnsi="Times New Roman" w:cs="Times New Roman"/>
          <w:bCs/>
          <w:sz w:val="20"/>
          <w:szCs w:val="20"/>
          <w:shd w:val="clear" w:color="auto" w:fill="FFFFFF"/>
          <w:vertAlign w:val="superscript"/>
          <w:lang w:val="en-US"/>
        </w:rPr>
        <w:t>2</w:t>
      </w:r>
      <w:r w:rsidRPr="00735838">
        <w:rPr>
          <w:sz w:val="20"/>
          <w:szCs w:val="20"/>
          <w:lang w:val="en-US"/>
        </w:rPr>
        <w:t xml:space="preserve"> Institute for </w:t>
      </w:r>
      <w:proofErr w:type="spellStart"/>
      <w:r w:rsidRPr="00735838">
        <w:rPr>
          <w:sz w:val="20"/>
          <w:szCs w:val="20"/>
          <w:lang w:val="en-US"/>
        </w:rPr>
        <w:t>Nanospectroscopy</w:t>
      </w:r>
      <w:proofErr w:type="spellEnd"/>
      <w:r w:rsidRPr="00735838">
        <w:rPr>
          <w:sz w:val="20"/>
          <w:szCs w:val="20"/>
          <w:lang w:val="en-US"/>
        </w:rPr>
        <w:t>, Helmholtz-</w:t>
      </w:r>
      <w:proofErr w:type="spellStart"/>
      <w:r w:rsidRPr="00735838">
        <w:rPr>
          <w:sz w:val="20"/>
          <w:szCs w:val="20"/>
          <w:lang w:val="en-US"/>
        </w:rPr>
        <w:t>Zentrum</w:t>
      </w:r>
      <w:proofErr w:type="spellEnd"/>
      <w:r w:rsidRPr="00735838">
        <w:rPr>
          <w:sz w:val="20"/>
          <w:szCs w:val="20"/>
          <w:lang w:val="en-US"/>
        </w:rPr>
        <w:t xml:space="preserve"> Berlin </w:t>
      </w:r>
      <w:proofErr w:type="spellStart"/>
      <w:r w:rsidRPr="00735838">
        <w:rPr>
          <w:sz w:val="20"/>
          <w:szCs w:val="20"/>
          <w:lang w:val="en-US"/>
        </w:rPr>
        <w:t>für</w:t>
      </w:r>
      <w:proofErr w:type="spellEnd"/>
      <w:r w:rsidRPr="00735838">
        <w:rPr>
          <w:sz w:val="20"/>
          <w:szCs w:val="20"/>
          <w:lang w:val="en-US"/>
        </w:rPr>
        <w:t xml:space="preserve"> </w:t>
      </w:r>
      <w:proofErr w:type="spellStart"/>
      <w:r w:rsidRPr="00735838">
        <w:rPr>
          <w:sz w:val="20"/>
          <w:szCs w:val="20"/>
          <w:lang w:val="en-US"/>
        </w:rPr>
        <w:t>Materialien</w:t>
      </w:r>
      <w:proofErr w:type="spellEnd"/>
      <w:r w:rsidRPr="00735838">
        <w:rPr>
          <w:sz w:val="20"/>
          <w:szCs w:val="20"/>
          <w:lang w:val="en-US"/>
        </w:rPr>
        <w:t xml:space="preserve"> und </w:t>
      </w:r>
      <w:proofErr w:type="spellStart"/>
      <w:r w:rsidRPr="00735838">
        <w:rPr>
          <w:sz w:val="20"/>
          <w:szCs w:val="20"/>
          <w:lang w:val="en-US"/>
        </w:rPr>
        <w:t>Energie</w:t>
      </w:r>
      <w:proofErr w:type="spellEnd"/>
      <w:r w:rsidRPr="00735838">
        <w:rPr>
          <w:sz w:val="20"/>
          <w:szCs w:val="20"/>
          <w:lang w:val="en-US"/>
        </w:rPr>
        <w:t xml:space="preserve"> GmbH, Albert-Einstein-Str. 15, 12489 Berlin, Germany</w:t>
      </w:r>
    </w:p>
    <w:p w:rsidR="00735838" w:rsidRPr="00735838" w:rsidRDefault="00735838" w:rsidP="00735838">
      <w:pPr>
        <w:pStyle w:val="NoSpacing"/>
        <w:rPr>
          <w:rFonts w:cs="Times New Roman"/>
          <w:bCs/>
          <w:sz w:val="20"/>
          <w:szCs w:val="20"/>
          <w:shd w:val="clear" w:color="auto" w:fill="FFFFFF"/>
          <w:lang w:val="en-US"/>
        </w:rPr>
      </w:pPr>
      <w:r w:rsidRPr="00735838">
        <w:rPr>
          <w:rFonts w:cs="Times New Roman"/>
          <w:bCs/>
          <w:sz w:val="20"/>
          <w:szCs w:val="20"/>
          <w:shd w:val="clear" w:color="auto" w:fill="FFFFFF"/>
          <w:vertAlign w:val="superscript"/>
          <w:lang w:val="en-US"/>
        </w:rPr>
        <w:t>3</w:t>
      </w:r>
      <w:r w:rsidRPr="00735838">
        <w:rPr>
          <w:rFonts w:cs="Times New Roman"/>
          <w:bCs/>
          <w:sz w:val="20"/>
          <w:szCs w:val="20"/>
          <w:shd w:val="clear" w:color="auto" w:fill="FFFFFF"/>
          <w:lang w:val="en-US"/>
        </w:rPr>
        <w:t xml:space="preserve">Cavendish Laboratory, University of Cambridge, J.J. Thomson Avenue, Cambridge, CB3 0HE, UK, </w:t>
      </w:r>
    </w:p>
    <w:p w:rsidR="00735838" w:rsidRDefault="00735838" w:rsidP="00735838">
      <w:pPr>
        <w:pStyle w:val="NoSpacing"/>
        <w:rPr>
          <w:rFonts w:cs="Arial"/>
          <w:color w:val="222222"/>
          <w:sz w:val="20"/>
          <w:szCs w:val="20"/>
          <w:shd w:val="clear" w:color="auto" w:fill="FFFFFF"/>
          <w:lang w:val="en-US"/>
        </w:rPr>
      </w:pPr>
      <w:r w:rsidRPr="00735838">
        <w:rPr>
          <w:rFonts w:cs="Times New Roman"/>
          <w:sz w:val="20"/>
          <w:szCs w:val="20"/>
          <w:shd w:val="clear" w:color="auto" w:fill="FFFFFF"/>
          <w:vertAlign w:val="superscript"/>
          <w:lang w:val="en-US"/>
        </w:rPr>
        <w:t>4</w:t>
      </w:r>
      <w:r w:rsidRPr="00735838">
        <w:rPr>
          <w:rFonts w:cs="Times New Roman"/>
          <w:sz w:val="20"/>
          <w:szCs w:val="20"/>
          <w:shd w:val="clear" w:color="auto" w:fill="FFFFFF"/>
          <w:lang w:val="en-US"/>
        </w:rPr>
        <w:t xml:space="preserve">Pure and Applied Chemistry, University of Glasgow, </w:t>
      </w:r>
      <w:r w:rsidRPr="00735838">
        <w:rPr>
          <w:rFonts w:cs="Arial"/>
          <w:color w:val="222222"/>
          <w:sz w:val="20"/>
          <w:szCs w:val="20"/>
          <w:shd w:val="clear" w:color="auto" w:fill="FFFFFF"/>
          <w:lang w:val="en-US"/>
        </w:rPr>
        <w:t>16 Richmond St, Glasgow G1 1XQ, UK</w:t>
      </w:r>
    </w:p>
    <w:p w:rsidR="00735838" w:rsidRDefault="00735838" w:rsidP="00735838">
      <w:pPr>
        <w:pStyle w:val="NoSpacing"/>
        <w:rPr>
          <w:rFonts w:cs="Arial"/>
          <w:color w:val="222222"/>
          <w:sz w:val="20"/>
          <w:szCs w:val="20"/>
          <w:shd w:val="clear" w:color="auto" w:fill="FFFFFF"/>
          <w:lang w:val="en-US"/>
        </w:rPr>
        <w:sectPr w:rsidR="00735838" w:rsidSect="00735838">
          <w:pgSz w:w="11906" w:h="16838"/>
          <w:pgMar w:top="720" w:right="720" w:bottom="720" w:left="720" w:header="708" w:footer="708" w:gutter="0"/>
          <w:cols w:space="708"/>
          <w:docGrid w:linePitch="360"/>
        </w:sectPr>
      </w:pPr>
    </w:p>
    <w:p w:rsidR="00735838" w:rsidRPr="00735838" w:rsidRDefault="00735838" w:rsidP="00735838">
      <w:pPr>
        <w:pStyle w:val="NoSpacing"/>
        <w:rPr>
          <w:rFonts w:cs="Arial"/>
          <w:color w:val="222222"/>
          <w:sz w:val="20"/>
          <w:szCs w:val="20"/>
          <w:shd w:val="clear" w:color="auto" w:fill="FFFFFF"/>
          <w:lang w:val="en-US"/>
        </w:rPr>
      </w:pPr>
    </w:p>
    <w:p w:rsidR="00735838" w:rsidRPr="00735838" w:rsidRDefault="00735838" w:rsidP="00735838">
      <w:pPr>
        <w:pStyle w:val="NoSpacing"/>
        <w:rPr>
          <w:b/>
          <w:sz w:val="20"/>
          <w:szCs w:val="20"/>
          <w:lang w:val="en-US"/>
        </w:rPr>
      </w:pPr>
      <w:r w:rsidRPr="00735838">
        <w:rPr>
          <w:rFonts w:cs="Arial"/>
          <w:b/>
          <w:color w:val="222222"/>
          <w:sz w:val="20"/>
          <w:szCs w:val="20"/>
          <w:shd w:val="clear" w:color="auto" w:fill="FFFFFF"/>
          <w:lang w:val="en-US"/>
        </w:rPr>
        <w:t xml:space="preserve">Keywords: </w:t>
      </w:r>
      <w:r w:rsidRPr="00735838">
        <w:rPr>
          <w:b/>
          <w:sz w:val="20"/>
          <w:szCs w:val="20"/>
          <w:lang w:val="en-US"/>
        </w:rPr>
        <w:t>BODIPY, Oligomers, Donor-acceptor systems, Luminescent solar concentrators, Reabsorption</w:t>
      </w:r>
    </w:p>
    <w:p w:rsidR="00735838" w:rsidRPr="00735838" w:rsidRDefault="00735838" w:rsidP="00735838">
      <w:pPr>
        <w:pStyle w:val="NoSpacing"/>
        <w:rPr>
          <w:sz w:val="20"/>
          <w:szCs w:val="20"/>
          <w:lang w:val="en-US"/>
        </w:rPr>
      </w:pPr>
    </w:p>
    <w:p w:rsidR="00735838" w:rsidRPr="00735838" w:rsidRDefault="00735838" w:rsidP="00735838">
      <w:pPr>
        <w:pStyle w:val="NoSpacing"/>
        <w:jc w:val="center"/>
        <w:rPr>
          <w:b/>
          <w:sz w:val="20"/>
          <w:szCs w:val="20"/>
          <w:lang w:val="en-US"/>
        </w:rPr>
      </w:pPr>
      <w:r>
        <w:rPr>
          <w:b/>
          <w:sz w:val="20"/>
          <w:szCs w:val="20"/>
          <w:lang w:val="en-US"/>
        </w:rPr>
        <w:t xml:space="preserve">I. </w:t>
      </w:r>
      <w:r w:rsidRPr="00735838">
        <w:rPr>
          <w:b/>
          <w:sz w:val="20"/>
          <w:szCs w:val="20"/>
          <w:lang w:val="en-US"/>
        </w:rPr>
        <w:t>Abstract</w:t>
      </w:r>
    </w:p>
    <w:p w:rsidR="00735838" w:rsidRPr="00735838" w:rsidRDefault="00735838" w:rsidP="00735838">
      <w:pPr>
        <w:pStyle w:val="NoSpacing"/>
        <w:jc w:val="both"/>
        <w:rPr>
          <w:sz w:val="20"/>
          <w:szCs w:val="20"/>
          <w:lang w:val="en-US"/>
        </w:rPr>
      </w:pPr>
      <w:r w:rsidRPr="00735838">
        <w:rPr>
          <w:sz w:val="20"/>
          <w:szCs w:val="20"/>
          <w:lang w:val="en-US"/>
        </w:rPr>
        <w:t xml:space="preserve">Luminescent solar concentrators (LSCs) are waveguides doped with luminescent centers that can spectrally and spatially concentrate sunlight. They can reduce the cost of photovoltaic energy production and are attractive prospects for </w:t>
      </w:r>
      <w:proofErr w:type="spellStart"/>
      <w:r w:rsidRPr="00735838">
        <w:rPr>
          <w:sz w:val="20"/>
          <w:szCs w:val="20"/>
          <w:lang w:val="en-US"/>
        </w:rPr>
        <w:t>photobioreactors</w:t>
      </w:r>
      <w:proofErr w:type="spellEnd"/>
      <w:r w:rsidRPr="00735838">
        <w:rPr>
          <w:sz w:val="20"/>
          <w:szCs w:val="20"/>
          <w:lang w:val="en-US"/>
        </w:rPr>
        <w:t xml:space="preserve"> and building-integrated applications</w:t>
      </w:r>
      <w:r w:rsidR="00CE4F9B">
        <w:rPr>
          <w:sz w:val="20"/>
          <w:szCs w:val="20"/>
          <w:lang w:val="en-US"/>
        </w:rPr>
        <w:fldChar w:fldCharType="begin" w:fldLock="1"/>
      </w:r>
      <w:r w:rsidR="00CE4F9B">
        <w:rPr>
          <w:sz w:val="20"/>
          <w:szCs w:val="20"/>
          <w:lang w:val="en-US"/>
        </w:rPr>
        <w:instrText>ADDIN CSL_CITATION {"citationItems":[{"id":"ITEM-1","itemData":{"DOI":"10.1002/aenm.201100554","ISBN":"1614-6840","abstract":"Research on the luminescent solar concentrator (LSC) over the past thirty-odd years is reviewed. The LSC is a simple device at its heart, employing a polymeric or glass waveguide and luminescent mols. to generate electricity from sunlight when attached to a photovoltaic cell. The LSC has the potential to find extended use in an area traditionally difficult for effective use of regular photovoltaic panels: the built environment. The LSC is a device very flexible in its design, with a variety of possible shapes and colors. The primary challenge faced by the devices is increasing their photon-to-electron conversion efficiencies. A no. of labs. are working to improve the efficiency and lifetime of the LSC device, with the ultimate goal of commercializing the devices within a few years. The topics covered here relate to the efforts for reducing losses in these devices. These include studies of novel luminophores, including org. fluorescent dyes, inorg. phosphors, and quantum dots. Ways to limit the surface and internal losses are also discussed, including using org. and inorg.-based selective mirrors which allow sunlight in but reflect luminophore-emitted light, plasmonic structures to enhance emissions, novel photovoltaics, alignment of the luminophores to manipulate the path of the emitted light, and patterning of the dye layer to improve emission efficiency. Finally, some possible \"glimpses of the future\" are offered, with addnl. research paths that could result in a device that makes solar energy a ubiquitous part of the urban setting, finding use as sound barriers, bus-stop roofs, awnings, windows, paving, or siding tiles. [on SciFinder(R)]","author":[{"dropping-particle":"","family":"Debije","given":"Michael G","non-dropping-particle":"","parse-names":false,"suffix":""},{"dropping-particle":"","family":"Verbunt","given":"Paul P C","non-dropping-particle":"","parse-names":false,"suffix":""}],"container-title":"Adv. Energy Mater.","id":"ITEM-1","issued":{"date-parts":[["2012"]]},"note":"CAPLUS AN 2012:131846(Journal; Online Computer File)","page":"12-35","publisher":"Wiley-Blackwell","title":"Thirty years of luminescent solar concentrator research: solar energy for the built environment","type":"article-journal","volume":"2"},"uris":["http://www.mendeley.com/documents/?uuid=11486568-2492-4064-8533-431cad491627"]}],"mendeley":{"formattedCitation":"&lt;sup&gt;1&lt;/sup&gt;","plainTextFormattedCitation":"1"},"properties":{"noteIndex":0},"schema":"https://github.com/citation-style-language/schema/raw/master/csl-citation.json"}</w:instrText>
      </w:r>
      <w:r w:rsidR="00CE4F9B">
        <w:rPr>
          <w:sz w:val="20"/>
          <w:szCs w:val="20"/>
          <w:lang w:val="en-US"/>
        </w:rPr>
        <w:fldChar w:fldCharType="separate"/>
      </w:r>
      <w:r w:rsidR="00CE4F9B" w:rsidRPr="00CE4F9B">
        <w:rPr>
          <w:noProof/>
          <w:sz w:val="20"/>
          <w:szCs w:val="20"/>
          <w:vertAlign w:val="superscript"/>
          <w:lang w:val="en-US"/>
        </w:rPr>
        <w:t>1</w:t>
      </w:r>
      <w:r w:rsidR="00CE4F9B">
        <w:rPr>
          <w:sz w:val="20"/>
          <w:szCs w:val="20"/>
          <w:lang w:val="en-US"/>
        </w:rPr>
        <w:fldChar w:fldCharType="end"/>
      </w:r>
      <w:r w:rsidRPr="00735838">
        <w:rPr>
          <w:sz w:val="20"/>
          <w:szCs w:val="20"/>
          <w:lang w:val="en-US"/>
        </w:rPr>
        <w:t>. Reabsorption, caused by non-zero overlap between the absorption and emission spectra of the light-emitting centers, often limits LSC efficiency</w:t>
      </w:r>
      <w:r w:rsidR="00CE4F9B">
        <w:rPr>
          <w:sz w:val="20"/>
          <w:szCs w:val="20"/>
          <w:lang w:val="en-US"/>
        </w:rPr>
        <w:fldChar w:fldCharType="begin" w:fldLock="1"/>
      </w:r>
      <w:r w:rsidR="00CE4F9B">
        <w:rPr>
          <w:sz w:val="20"/>
          <w:szCs w:val="20"/>
          <w:lang w:val="en-US"/>
        </w:rPr>
        <w:instrText>ADDIN CSL_CITATION {"citationItems":[{"id":"ITEM-1","itemData":{"DOI":"10.1364/ao.20.002934","ISBN":"0003-6935","abstract":"The problem of reabsorption in luminescent solar concentrators (LSCs) is discussed. A math. development is presented which enables the LSC gain to be calcd. based on the optical properties of the materials and a random walk formalism. Two- and 3-dimensional analyses are used. A detailed set of calcns. for a common dye (rhodamine 6G [989-38-8]) is used to exam. the practicality of employing a single dye. The effects of diam., thickness, and quantum yield on the LSC output are presented. The spectrum of the LSC output as a function of concn. is calcd. The LSCs can be made more efficient with a system which utilizes radiationless electronic excited state transport and trapping as intermediate steps between absorption and reemission. Trap emission substantially avoids the reabsorption problem. [on SciFinder(R)]","author":[{"dropping-particle":"","family":"Olson","given":"R W","non-dropping-particle":"","parse-names":false,"suffix":""},{"dropping-particle":"","family":"Loring","given":"Roger F","non-dropping-particle":"","parse-names":false,"suffix":""},{"dropping-particle":"","family":"Fayer","given":"M D","non-dropping-particle":"","parse-names":false,"suffix":""}],"container-title":"Appl. Opt.","id":"ITEM-1","issue":"17","issued":{"date-parts":[["1981"]]},"note":"CAPLUS AN 1981:622902(Journal)","page":"2934-2940","title":"Luminescent solar concentrators and the reabsorption problem","type":"article-journal","volume":"20"},"uris":["http://www.mendeley.com/documents/?uuid=e39b0bb5-9347-4bdd-a889-75b489ee2bc0"]}],"mendeley":{"formattedCitation":"&lt;sup&gt;2&lt;/sup&gt;","plainTextFormattedCitation":"2","previouslyFormattedCitation":"&lt;sup&gt;2&lt;/sup&gt;"},"properties":{"noteIndex":0},"schema":"https://github.com/citation-style-language/schema/raw/master/csl-citation.json"}</w:instrText>
      </w:r>
      <w:r w:rsidR="00CE4F9B">
        <w:rPr>
          <w:sz w:val="20"/>
          <w:szCs w:val="20"/>
          <w:lang w:val="en-US"/>
        </w:rPr>
        <w:fldChar w:fldCharType="separate"/>
      </w:r>
      <w:r w:rsidR="00CE4F9B" w:rsidRPr="00CE4F9B">
        <w:rPr>
          <w:noProof/>
          <w:sz w:val="20"/>
          <w:szCs w:val="20"/>
          <w:vertAlign w:val="superscript"/>
          <w:lang w:val="en-US"/>
        </w:rPr>
        <w:t>2</w:t>
      </w:r>
      <w:r w:rsidR="00CE4F9B">
        <w:rPr>
          <w:sz w:val="20"/>
          <w:szCs w:val="20"/>
          <w:lang w:val="en-US"/>
        </w:rPr>
        <w:fldChar w:fldCharType="end"/>
      </w:r>
      <w:r w:rsidRPr="00735838">
        <w:rPr>
          <w:sz w:val="20"/>
          <w:szCs w:val="20"/>
          <w:lang w:val="en-US"/>
        </w:rPr>
        <w:t>. Donor–acceptor energy-transfer complexes are one method to mitigate reabsorption by shifting the emission away from the main absorption peak</w:t>
      </w:r>
      <w:r w:rsidR="00CE4F9B">
        <w:rPr>
          <w:sz w:val="20"/>
          <w:szCs w:val="20"/>
          <w:lang w:val="en-US"/>
        </w:rPr>
        <w:fldChar w:fldCharType="begin" w:fldLock="1"/>
      </w:r>
      <w:r w:rsidR="00CE4F9B">
        <w:rPr>
          <w:sz w:val="20"/>
          <w:szCs w:val="20"/>
          <w:lang w:val="en-US"/>
        </w:rPr>
        <w:instrText>ADDIN CSL_CITATION {"citationItems":[{"id":"ITEM-1","itemData":{"DOI":"10.1039/C6TC02555B","ISSN":"2050-7526","author":[{"dropping-particle":"","family":"Davis","given":"Nathaniel J L K","non-dropping-particle":"","parse-names":false,"suffix":""},{"dropping-particle":"","family":"MacQueen","given":"Rowan W","non-dropping-particle":"","parse-names":false,"suffix":""},{"dropping-particle":"","family":"Roberts","given":"Derrick A.","non-dropping-particle":"","parse-names":false,"suffix":""},{"dropping-particle":"","family":"Danos","given":"Andrew","non-dropping-particle":"","parse-names":false,"suffix":""},{"dropping-particle":"","family":"Dehn","given":"Sabrina","non-dropping-particle":"","parse-names":false,"suffix":""},{"dropping-particle":"","family":"Perrier","given":"Sebastien","non-dropping-particle":"","parse-names":false,"suffix":""},{"dropping-particle":"","family":"Schmidt","given":"Timothy W.","non-dropping-particle":"","parse-names":false,"suffix":""}],"container-title":"J. Mater. Chem. C","id":"ITEM-1","issued":{"date-parts":[["2016"]]},"page":"8270-8275","publisher":"Royal Society of Chemistry","title":"Energy Transfer in Pendant Perylene Diimide Copolymers","type":"article-journal","volume":"4"},"uris":["http://www.mendeley.com/documents/?uuid=1b51123d-6695-4b6a-8e02-22709ab2ce9c"]},{"id":"ITEM-2","itemData":{"DOI":"10.1038/nphoton.2011.236","ISSN":"1749-4885","author":[{"dropping-particle":"","family":"Giebink","given":"Noel C.","non-dropping-particle":"","parse-names":false,"suffix":""},{"dropping-particle":"","family":"Wiederrecht","given":"Gary P.","non-dropping-particle":"","parse-names":false,"suffix":""},{"dropping-particle":"","family":"Wasielewski","given":"Michael R.","non-dropping-particle":"","parse-names":false,"suffix":""}],"container-title":"Nature Photonics","id":"ITEM-2","issue":"11","issued":{"date-parts":[["2011","9","25"]]},"page":"694-701","publisher":"Nature Publishing Group","title":"Resonance-shifting to circumvent reabsorption loss in luminescent solar concentrators","type":"article-journal","volume":"5"},"uris":["http://www.mendeley.com/documents/?uuid=047b5433-2b3f-4e36-a5b5-db2cb5f85b4c"]}],"mendeley":{"formattedCitation":"&lt;sup&gt;3,4&lt;/sup&gt;","plainTextFormattedCitation":"3,4","previouslyFormattedCitation":"&lt;sup&gt;3,4&lt;/sup&gt;"},"properties":{"noteIndex":0},"schema":"https://github.com/citation-style-language/schema/raw/master/csl-citation.json"}</w:instrText>
      </w:r>
      <w:r w:rsidR="00CE4F9B">
        <w:rPr>
          <w:sz w:val="20"/>
          <w:szCs w:val="20"/>
          <w:lang w:val="en-US"/>
        </w:rPr>
        <w:fldChar w:fldCharType="separate"/>
      </w:r>
      <w:r w:rsidR="00CE4F9B" w:rsidRPr="00CE4F9B">
        <w:rPr>
          <w:noProof/>
          <w:sz w:val="20"/>
          <w:szCs w:val="20"/>
          <w:vertAlign w:val="superscript"/>
          <w:lang w:val="en-US"/>
        </w:rPr>
        <w:t>3,4</w:t>
      </w:r>
      <w:r w:rsidR="00CE4F9B">
        <w:rPr>
          <w:sz w:val="20"/>
          <w:szCs w:val="20"/>
          <w:lang w:val="en-US"/>
        </w:rPr>
        <w:fldChar w:fldCharType="end"/>
      </w:r>
      <w:r w:rsidRPr="00735838">
        <w:rPr>
          <w:sz w:val="20"/>
          <w:szCs w:val="20"/>
          <w:lang w:val="en-US"/>
        </w:rPr>
        <w:t xml:space="preserve">. Here we introduce versatile star-shaped donor–acceptor molecules based on a central BODIPY energy acceptor with </w:t>
      </w:r>
      <w:proofErr w:type="spellStart"/>
      <w:r w:rsidRPr="00735838">
        <w:rPr>
          <w:sz w:val="20"/>
          <w:szCs w:val="20"/>
          <w:lang w:val="en-US"/>
        </w:rPr>
        <w:t>oligofluorene</w:t>
      </w:r>
      <w:proofErr w:type="spellEnd"/>
      <w:r w:rsidRPr="00735838">
        <w:rPr>
          <w:sz w:val="20"/>
          <w:szCs w:val="20"/>
          <w:lang w:val="en-US"/>
        </w:rPr>
        <w:t xml:space="preserve"> donor side units. Varying the </w:t>
      </w:r>
      <w:proofErr w:type="spellStart"/>
      <w:r w:rsidRPr="00735838">
        <w:rPr>
          <w:sz w:val="20"/>
          <w:szCs w:val="20"/>
          <w:lang w:val="en-US"/>
        </w:rPr>
        <w:t>oligofluorene</w:t>
      </w:r>
      <w:proofErr w:type="spellEnd"/>
      <w:r w:rsidRPr="00735838">
        <w:rPr>
          <w:sz w:val="20"/>
          <w:szCs w:val="20"/>
          <w:lang w:val="en-US"/>
        </w:rPr>
        <w:t xml:space="preserve"> chain length alters the relative oscillator strengths of the donor and acceptor, changing the severity of reabsorption for a given donor density, but also changing the luminescence yield and emission spectrum. We performed comprehensive device measurements and Monte Carlo ray tracing simulations of LSCs containing three </w:t>
      </w:r>
      <w:proofErr w:type="spellStart"/>
      <w:r w:rsidRPr="00735838">
        <w:rPr>
          <w:sz w:val="20"/>
          <w:szCs w:val="20"/>
          <w:lang w:val="en-US"/>
        </w:rPr>
        <w:t>oligofluorene</w:t>
      </w:r>
      <w:proofErr w:type="spellEnd"/>
      <w:r w:rsidRPr="00735838">
        <w:rPr>
          <w:sz w:val="20"/>
          <w:szCs w:val="20"/>
          <w:lang w:val="en-US"/>
        </w:rPr>
        <w:t xml:space="preserve">–BODIPY donor–acceptor systems with different </w:t>
      </w:r>
      <w:proofErr w:type="spellStart"/>
      <w:r w:rsidRPr="00735838">
        <w:rPr>
          <w:sz w:val="20"/>
          <w:szCs w:val="20"/>
          <w:lang w:val="en-US"/>
        </w:rPr>
        <w:t>oligofluorene</w:t>
      </w:r>
      <w:proofErr w:type="spellEnd"/>
      <w:r w:rsidRPr="00735838">
        <w:rPr>
          <w:sz w:val="20"/>
          <w:szCs w:val="20"/>
          <w:lang w:val="en-US"/>
        </w:rPr>
        <w:t xml:space="preserve"> chain lengths, and then extended the simulation to study hypothetical analogs with higher donor–acceptor ratios and different terminal acceptors. We found that the measured structures permit waveguide propagation lengths on a par with state-of-the-art </w:t>
      </w:r>
      <w:proofErr w:type="spellStart"/>
      <w:r w:rsidRPr="00735838">
        <w:rPr>
          <w:sz w:val="20"/>
          <w:szCs w:val="20"/>
          <w:lang w:val="en-US"/>
        </w:rPr>
        <w:t>nanocrystalline</w:t>
      </w:r>
      <w:proofErr w:type="spellEnd"/>
      <w:r w:rsidRPr="00735838">
        <w:rPr>
          <w:sz w:val="20"/>
          <w:szCs w:val="20"/>
          <w:lang w:val="en-US"/>
        </w:rPr>
        <w:t xml:space="preserve"> emitters, while the proposed structures are viable candidates for </w:t>
      </w:r>
      <w:proofErr w:type="spellStart"/>
      <w:r w:rsidRPr="00735838">
        <w:rPr>
          <w:sz w:val="20"/>
          <w:szCs w:val="20"/>
          <w:lang w:val="en-US"/>
        </w:rPr>
        <w:t>photobioreactor</w:t>
      </w:r>
      <w:proofErr w:type="spellEnd"/>
      <w:r w:rsidRPr="00735838">
        <w:rPr>
          <w:sz w:val="20"/>
          <w:szCs w:val="20"/>
          <w:lang w:val="en-US"/>
        </w:rPr>
        <w:t xml:space="preserve"> and energy production roles and should be synthesized.</w:t>
      </w:r>
    </w:p>
    <w:p w:rsidR="00735838" w:rsidRDefault="00735838" w:rsidP="00735838">
      <w:pPr>
        <w:pStyle w:val="NoSpacing"/>
        <w:jc w:val="both"/>
        <w:rPr>
          <w:sz w:val="20"/>
          <w:szCs w:val="20"/>
          <w:lang w:val="en-US"/>
        </w:rPr>
      </w:pPr>
    </w:p>
    <w:p w:rsidR="00735838" w:rsidRDefault="00735838" w:rsidP="00735838">
      <w:pPr>
        <w:pStyle w:val="NoSpacing"/>
        <w:jc w:val="center"/>
        <w:rPr>
          <w:b/>
          <w:sz w:val="20"/>
          <w:szCs w:val="20"/>
          <w:lang w:val="en-US"/>
        </w:rPr>
      </w:pPr>
      <w:r w:rsidRPr="00735838">
        <w:rPr>
          <w:b/>
          <w:sz w:val="20"/>
          <w:szCs w:val="20"/>
          <w:lang w:val="en-US"/>
        </w:rPr>
        <w:t>II. Image</w:t>
      </w:r>
    </w:p>
    <w:p w:rsidR="00735838" w:rsidRPr="00735838" w:rsidRDefault="00735838" w:rsidP="00735838">
      <w:pPr>
        <w:pStyle w:val="NoSpacing"/>
        <w:jc w:val="center"/>
        <w:rPr>
          <w:b/>
          <w:sz w:val="20"/>
          <w:szCs w:val="20"/>
          <w:lang w:val="en-US"/>
        </w:rPr>
      </w:pPr>
    </w:p>
    <w:p w:rsidR="00735838" w:rsidRPr="00735838" w:rsidRDefault="00735838" w:rsidP="00CE4F9B">
      <w:pPr>
        <w:pStyle w:val="NoSpacing"/>
        <w:jc w:val="center"/>
        <w:rPr>
          <w:sz w:val="20"/>
          <w:szCs w:val="20"/>
          <w:lang w:val="en-US"/>
        </w:rPr>
      </w:pPr>
      <w:r w:rsidRPr="00735838">
        <w:rPr>
          <w:sz w:val="20"/>
          <w:szCs w:val="20"/>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5.65pt;height:128.1pt">
            <v:imagedata r:id="rId6" o:title="toc"/>
          </v:shape>
        </w:pict>
      </w:r>
    </w:p>
    <w:p w:rsidR="00735838" w:rsidRPr="00735838" w:rsidRDefault="00735838" w:rsidP="00735838">
      <w:pPr>
        <w:pStyle w:val="NoSpacing"/>
        <w:jc w:val="both"/>
        <w:rPr>
          <w:sz w:val="20"/>
          <w:szCs w:val="20"/>
          <w:lang w:val="en-US"/>
        </w:rPr>
      </w:pPr>
    </w:p>
    <w:p w:rsidR="00735838" w:rsidRDefault="00735838" w:rsidP="00735838">
      <w:pPr>
        <w:pStyle w:val="NoSpacing"/>
        <w:jc w:val="both"/>
        <w:rPr>
          <w:sz w:val="20"/>
          <w:szCs w:val="20"/>
          <w:lang w:val="en-US"/>
        </w:rPr>
      </w:pPr>
    </w:p>
    <w:p w:rsidR="00735838" w:rsidRDefault="00735838" w:rsidP="00735838">
      <w:pPr>
        <w:pStyle w:val="NoSpacing"/>
        <w:jc w:val="both"/>
        <w:rPr>
          <w:sz w:val="20"/>
          <w:szCs w:val="20"/>
          <w:lang w:val="en-US"/>
        </w:rPr>
      </w:pPr>
    </w:p>
    <w:p w:rsidR="00735838" w:rsidRDefault="00735838" w:rsidP="00735838">
      <w:pPr>
        <w:pStyle w:val="NoSpacing"/>
        <w:jc w:val="both"/>
        <w:rPr>
          <w:sz w:val="20"/>
          <w:szCs w:val="20"/>
          <w:lang w:val="en-US"/>
        </w:rPr>
      </w:pPr>
    </w:p>
    <w:p w:rsidR="00735838" w:rsidRDefault="00735838" w:rsidP="00735838">
      <w:pPr>
        <w:pStyle w:val="NoSpacing"/>
        <w:jc w:val="both"/>
        <w:rPr>
          <w:sz w:val="20"/>
          <w:szCs w:val="20"/>
          <w:lang w:val="en-US"/>
        </w:rPr>
      </w:pPr>
    </w:p>
    <w:p w:rsidR="00735838" w:rsidRDefault="00735838" w:rsidP="00735838">
      <w:pPr>
        <w:pStyle w:val="NoSpacing"/>
        <w:jc w:val="both"/>
        <w:rPr>
          <w:sz w:val="20"/>
          <w:szCs w:val="20"/>
          <w:lang w:val="en-US"/>
        </w:rPr>
      </w:pPr>
    </w:p>
    <w:p w:rsidR="00735838" w:rsidRDefault="00735838" w:rsidP="00735838">
      <w:pPr>
        <w:pStyle w:val="NoSpacing"/>
        <w:jc w:val="both"/>
        <w:rPr>
          <w:sz w:val="20"/>
          <w:szCs w:val="20"/>
          <w:lang w:val="en-US"/>
        </w:rPr>
      </w:pPr>
    </w:p>
    <w:p w:rsidR="00CE4F9B" w:rsidRDefault="00CE4F9B" w:rsidP="00735838">
      <w:pPr>
        <w:pStyle w:val="NoSpacing"/>
        <w:jc w:val="both"/>
        <w:rPr>
          <w:sz w:val="20"/>
          <w:szCs w:val="20"/>
          <w:lang w:val="en-US"/>
        </w:rPr>
      </w:pPr>
    </w:p>
    <w:p w:rsidR="00CE4F9B" w:rsidRPr="00CE4F9B" w:rsidRDefault="00CE4F9B" w:rsidP="00CE4F9B">
      <w:pPr>
        <w:pStyle w:val="NoSpacing"/>
        <w:jc w:val="center"/>
        <w:rPr>
          <w:b/>
          <w:sz w:val="20"/>
          <w:szCs w:val="20"/>
          <w:lang w:val="en-US"/>
        </w:rPr>
      </w:pPr>
      <w:r w:rsidRPr="00CE4F9B">
        <w:rPr>
          <w:b/>
          <w:sz w:val="20"/>
          <w:szCs w:val="20"/>
          <w:lang w:val="en-US"/>
        </w:rPr>
        <w:t>III. References</w:t>
      </w:r>
    </w:p>
    <w:p w:rsidR="00CE4F9B" w:rsidRPr="00CE4F9B" w:rsidRDefault="00CE4F9B" w:rsidP="00CE4F9B">
      <w:pPr>
        <w:widowControl w:val="0"/>
        <w:autoSpaceDE w:val="0"/>
        <w:autoSpaceDN w:val="0"/>
        <w:adjustRightInd w:val="0"/>
        <w:spacing w:after="0" w:line="240" w:lineRule="auto"/>
        <w:ind w:left="640" w:hanging="640"/>
        <w:rPr>
          <w:rFonts w:ascii="Calibri" w:hAnsi="Calibri" w:cs="Calibri"/>
          <w:noProof/>
          <w:sz w:val="20"/>
          <w:szCs w:val="24"/>
        </w:rPr>
      </w:pPr>
      <w:r>
        <w:rPr>
          <w:sz w:val="20"/>
          <w:szCs w:val="20"/>
          <w:lang w:val="en-US"/>
        </w:rPr>
        <w:fldChar w:fldCharType="begin" w:fldLock="1"/>
      </w:r>
      <w:r>
        <w:rPr>
          <w:sz w:val="20"/>
          <w:szCs w:val="20"/>
          <w:lang w:val="en-US"/>
        </w:rPr>
        <w:instrText xml:space="preserve">ADDIN Mendeley Bibliography CSL_BIBLIOGRAPHY </w:instrText>
      </w:r>
      <w:r>
        <w:rPr>
          <w:sz w:val="20"/>
          <w:szCs w:val="20"/>
          <w:lang w:val="en-US"/>
        </w:rPr>
        <w:fldChar w:fldCharType="separate"/>
      </w:r>
      <w:r w:rsidRPr="00CE4F9B">
        <w:rPr>
          <w:rFonts w:ascii="Calibri" w:hAnsi="Calibri" w:cs="Calibri"/>
          <w:noProof/>
          <w:sz w:val="20"/>
          <w:szCs w:val="24"/>
        </w:rPr>
        <w:t xml:space="preserve">(1) </w:t>
      </w:r>
      <w:r w:rsidRPr="00CE4F9B">
        <w:rPr>
          <w:rFonts w:ascii="Calibri" w:hAnsi="Calibri" w:cs="Calibri"/>
          <w:noProof/>
          <w:sz w:val="20"/>
          <w:szCs w:val="24"/>
        </w:rPr>
        <w:tab/>
        <w:t xml:space="preserve">Debije, M. G.; Verbunt, P. P. C. Thirty Years of Luminescent Solar Concentrator Research: Solar Energy for the Built Environment. </w:t>
      </w:r>
      <w:r w:rsidRPr="00CE4F9B">
        <w:rPr>
          <w:rFonts w:ascii="Calibri" w:hAnsi="Calibri" w:cs="Calibri"/>
          <w:i/>
          <w:iCs/>
          <w:noProof/>
          <w:sz w:val="20"/>
          <w:szCs w:val="24"/>
        </w:rPr>
        <w:t>Adv. Energy Mater.</w:t>
      </w:r>
      <w:r w:rsidRPr="00CE4F9B">
        <w:rPr>
          <w:rFonts w:ascii="Calibri" w:hAnsi="Calibri" w:cs="Calibri"/>
          <w:noProof/>
          <w:sz w:val="20"/>
          <w:szCs w:val="24"/>
        </w:rPr>
        <w:t xml:space="preserve"> </w:t>
      </w:r>
      <w:r w:rsidRPr="00CE4F9B">
        <w:rPr>
          <w:rFonts w:ascii="Calibri" w:hAnsi="Calibri" w:cs="Calibri"/>
          <w:b/>
          <w:bCs/>
          <w:noProof/>
          <w:sz w:val="20"/>
          <w:szCs w:val="24"/>
        </w:rPr>
        <w:t>2012</w:t>
      </w:r>
      <w:r w:rsidRPr="00CE4F9B">
        <w:rPr>
          <w:rFonts w:ascii="Calibri" w:hAnsi="Calibri" w:cs="Calibri"/>
          <w:noProof/>
          <w:sz w:val="20"/>
          <w:szCs w:val="24"/>
        </w:rPr>
        <w:t xml:space="preserve">, </w:t>
      </w:r>
      <w:r w:rsidRPr="00CE4F9B">
        <w:rPr>
          <w:rFonts w:ascii="Calibri" w:hAnsi="Calibri" w:cs="Calibri"/>
          <w:i/>
          <w:iCs/>
          <w:noProof/>
          <w:sz w:val="20"/>
          <w:szCs w:val="24"/>
        </w:rPr>
        <w:t>2</w:t>
      </w:r>
      <w:r w:rsidRPr="00CE4F9B">
        <w:rPr>
          <w:rFonts w:ascii="Calibri" w:hAnsi="Calibri" w:cs="Calibri"/>
          <w:noProof/>
          <w:sz w:val="20"/>
          <w:szCs w:val="24"/>
        </w:rPr>
        <w:t>, 12–35.</w:t>
      </w:r>
    </w:p>
    <w:p w:rsidR="00CE4F9B" w:rsidRPr="00CE4F9B" w:rsidRDefault="00CE4F9B" w:rsidP="00CE4F9B">
      <w:pPr>
        <w:widowControl w:val="0"/>
        <w:autoSpaceDE w:val="0"/>
        <w:autoSpaceDN w:val="0"/>
        <w:adjustRightInd w:val="0"/>
        <w:spacing w:after="0" w:line="240" w:lineRule="auto"/>
        <w:ind w:left="640" w:hanging="640"/>
        <w:rPr>
          <w:rFonts w:ascii="Calibri" w:hAnsi="Calibri" w:cs="Calibri"/>
          <w:noProof/>
          <w:sz w:val="20"/>
          <w:szCs w:val="24"/>
        </w:rPr>
      </w:pPr>
      <w:r w:rsidRPr="00CE4F9B">
        <w:rPr>
          <w:rFonts w:ascii="Calibri" w:hAnsi="Calibri" w:cs="Calibri"/>
          <w:noProof/>
          <w:sz w:val="20"/>
          <w:szCs w:val="24"/>
        </w:rPr>
        <w:t xml:space="preserve">(2) </w:t>
      </w:r>
      <w:r w:rsidRPr="00CE4F9B">
        <w:rPr>
          <w:rFonts w:ascii="Calibri" w:hAnsi="Calibri" w:cs="Calibri"/>
          <w:noProof/>
          <w:sz w:val="20"/>
          <w:szCs w:val="24"/>
        </w:rPr>
        <w:tab/>
        <w:t xml:space="preserve">Olson, R. W.; Loring, R. F.; Fayer, M. D. Luminescent Solar Concentrators and the Reabsorption Problem. </w:t>
      </w:r>
      <w:r w:rsidRPr="00CE4F9B">
        <w:rPr>
          <w:rFonts w:ascii="Calibri" w:hAnsi="Calibri" w:cs="Calibri"/>
          <w:i/>
          <w:iCs/>
          <w:noProof/>
          <w:sz w:val="20"/>
          <w:szCs w:val="24"/>
        </w:rPr>
        <w:t>Appl. Opt.</w:t>
      </w:r>
      <w:r w:rsidRPr="00CE4F9B">
        <w:rPr>
          <w:rFonts w:ascii="Calibri" w:hAnsi="Calibri" w:cs="Calibri"/>
          <w:noProof/>
          <w:sz w:val="20"/>
          <w:szCs w:val="24"/>
        </w:rPr>
        <w:t xml:space="preserve"> </w:t>
      </w:r>
      <w:r w:rsidRPr="00CE4F9B">
        <w:rPr>
          <w:rFonts w:ascii="Calibri" w:hAnsi="Calibri" w:cs="Calibri"/>
          <w:b/>
          <w:bCs/>
          <w:noProof/>
          <w:sz w:val="20"/>
          <w:szCs w:val="24"/>
        </w:rPr>
        <w:t>1981</w:t>
      </w:r>
      <w:r w:rsidRPr="00CE4F9B">
        <w:rPr>
          <w:rFonts w:ascii="Calibri" w:hAnsi="Calibri" w:cs="Calibri"/>
          <w:noProof/>
          <w:sz w:val="20"/>
          <w:szCs w:val="24"/>
        </w:rPr>
        <w:t xml:space="preserve">, </w:t>
      </w:r>
      <w:r w:rsidRPr="00CE4F9B">
        <w:rPr>
          <w:rFonts w:ascii="Calibri" w:hAnsi="Calibri" w:cs="Calibri"/>
          <w:i/>
          <w:iCs/>
          <w:noProof/>
          <w:sz w:val="20"/>
          <w:szCs w:val="24"/>
        </w:rPr>
        <w:t>20</w:t>
      </w:r>
      <w:r w:rsidRPr="00CE4F9B">
        <w:rPr>
          <w:rFonts w:ascii="Calibri" w:hAnsi="Calibri" w:cs="Calibri"/>
          <w:noProof/>
          <w:sz w:val="20"/>
          <w:szCs w:val="24"/>
        </w:rPr>
        <w:t xml:space="preserve"> (17), 2934–2940.</w:t>
      </w:r>
    </w:p>
    <w:p w:rsidR="00CE4F9B" w:rsidRPr="00CE4F9B" w:rsidRDefault="00CE4F9B" w:rsidP="00CE4F9B">
      <w:pPr>
        <w:widowControl w:val="0"/>
        <w:autoSpaceDE w:val="0"/>
        <w:autoSpaceDN w:val="0"/>
        <w:adjustRightInd w:val="0"/>
        <w:spacing w:after="0" w:line="240" w:lineRule="auto"/>
        <w:ind w:left="640" w:hanging="640"/>
        <w:rPr>
          <w:rFonts w:ascii="Calibri" w:hAnsi="Calibri" w:cs="Calibri"/>
          <w:noProof/>
          <w:sz w:val="20"/>
          <w:szCs w:val="24"/>
        </w:rPr>
      </w:pPr>
      <w:r w:rsidRPr="00CE4F9B">
        <w:rPr>
          <w:rFonts w:ascii="Calibri" w:hAnsi="Calibri" w:cs="Calibri"/>
          <w:noProof/>
          <w:sz w:val="20"/>
          <w:szCs w:val="24"/>
        </w:rPr>
        <w:t xml:space="preserve">(3) </w:t>
      </w:r>
      <w:r w:rsidRPr="00CE4F9B">
        <w:rPr>
          <w:rFonts w:ascii="Calibri" w:hAnsi="Calibri" w:cs="Calibri"/>
          <w:noProof/>
          <w:sz w:val="20"/>
          <w:szCs w:val="24"/>
        </w:rPr>
        <w:tab/>
        <w:t xml:space="preserve">Davis, N. J. L. K.; MacQueen, R. W.; Roberts, D. A.; Danos, A.; Dehn, S.; Perrier, S.; Schmidt, T. W. Energy Transfer in Pendant Perylene Diimide Copolymers. </w:t>
      </w:r>
      <w:r w:rsidRPr="00CE4F9B">
        <w:rPr>
          <w:rFonts w:ascii="Calibri" w:hAnsi="Calibri" w:cs="Calibri"/>
          <w:i/>
          <w:iCs/>
          <w:noProof/>
          <w:sz w:val="20"/>
          <w:szCs w:val="24"/>
        </w:rPr>
        <w:t>J. Mater. Chem. C</w:t>
      </w:r>
      <w:r w:rsidRPr="00CE4F9B">
        <w:rPr>
          <w:rFonts w:ascii="Calibri" w:hAnsi="Calibri" w:cs="Calibri"/>
          <w:noProof/>
          <w:sz w:val="20"/>
          <w:szCs w:val="24"/>
        </w:rPr>
        <w:t xml:space="preserve"> </w:t>
      </w:r>
      <w:r w:rsidRPr="00CE4F9B">
        <w:rPr>
          <w:rFonts w:ascii="Calibri" w:hAnsi="Calibri" w:cs="Calibri"/>
          <w:b/>
          <w:bCs/>
          <w:noProof/>
          <w:sz w:val="20"/>
          <w:szCs w:val="24"/>
        </w:rPr>
        <w:t>2016</w:t>
      </w:r>
      <w:r w:rsidRPr="00CE4F9B">
        <w:rPr>
          <w:rFonts w:ascii="Calibri" w:hAnsi="Calibri" w:cs="Calibri"/>
          <w:noProof/>
          <w:sz w:val="20"/>
          <w:szCs w:val="24"/>
        </w:rPr>
        <w:t xml:space="preserve">, </w:t>
      </w:r>
      <w:r w:rsidRPr="00CE4F9B">
        <w:rPr>
          <w:rFonts w:ascii="Calibri" w:hAnsi="Calibri" w:cs="Calibri"/>
          <w:i/>
          <w:iCs/>
          <w:noProof/>
          <w:sz w:val="20"/>
          <w:szCs w:val="24"/>
        </w:rPr>
        <w:t>4</w:t>
      </w:r>
      <w:r w:rsidRPr="00CE4F9B">
        <w:rPr>
          <w:rFonts w:ascii="Calibri" w:hAnsi="Calibri" w:cs="Calibri"/>
          <w:noProof/>
          <w:sz w:val="20"/>
          <w:szCs w:val="24"/>
        </w:rPr>
        <w:t>, 8270–8275.</w:t>
      </w:r>
    </w:p>
    <w:p w:rsidR="00CE4F9B" w:rsidRPr="00CE4F9B" w:rsidRDefault="00CE4F9B" w:rsidP="00CE4F9B">
      <w:pPr>
        <w:widowControl w:val="0"/>
        <w:autoSpaceDE w:val="0"/>
        <w:autoSpaceDN w:val="0"/>
        <w:adjustRightInd w:val="0"/>
        <w:spacing w:after="0" w:line="240" w:lineRule="auto"/>
        <w:ind w:left="640" w:hanging="640"/>
        <w:rPr>
          <w:rFonts w:ascii="Calibri" w:hAnsi="Calibri" w:cs="Calibri"/>
          <w:noProof/>
          <w:sz w:val="20"/>
        </w:rPr>
      </w:pPr>
      <w:r w:rsidRPr="00CE4F9B">
        <w:rPr>
          <w:rFonts w:ascii="Calibri" w:hAnsi="Calibri" w:cs="Calibri"/>
          <w:noProof/>
          <w:sz w:val="20"/>
          <w:szCs w:val="24"/>
        </w:rPr>
        <w:t xml:space="preserve">(4) </w:t>
      </w:r>
      <w:r w:rsidRPr="00CE4F9B">
        <w:rPr>
          <w:rFonts w:ascii="Calibri" w:hAnsi="Calibri" w:cs="Calibri"/>
          <w:noProof/>
          <w:sz w:val="20"/>
          <w:szCs w:val="24"/>
        </w:rPr>
        <w:tab/>
        <w:t xml:space="preserve">Giebink, N. C.; Wiederrecht, G. P.; Wasielewski, M. R. Resonance-Shifting to Circumvent Reabsorption Loss in Luminescent Solar Concentrators. </w:t>
      </w:r>
      <w:r w:rsidRPr="00CE4F9B">
        <w:rPr>
          <w:rFonts w:ascii="Calibri" w:hAnsi="Calibri" w:cs="Calibri"/>
          <w:i/>
          <w:iCs/>
          <w:noProof/>
          <w:sz w:val="20"/>
          <w:szCs w:val="24"/>
        </w:rPr>
        <w:t>Nat. Photonics</w:t>
      </w:r>
      <w:r w:rsidRPr="00CE4F9B">
        <w:rPr>
          <w:rFonts w:ascii="Calibri" w:hAnsi="Calibri" w:cs="Calibri"/>
          <w:noProof/>
          <w:sz w:val="20"/>
          <w:szCs w:val="24"/>
        </w:rPr>
        <w:t xml:space="preserve"> </w:t>
      </w:r>
      <w:r w:rsidRPr="00CE4F9B">
        <w:rPr>
          <w:rFonts w:ascii="Calibri" w:hAnsi="Calibri" w:cs="Calibri"/>
          <w:b/>
          <w:bCs/>
          <w:noProof/>
          <w:sz w:val="20"/>
          <w:szCs w:val="24"/>
        </w:rPr>
        <w:t>2011</w:t>
      </w:r>
      <w:r w:rsidRPr="00CE4F9B">
        <w:rPr>
          <w:rFonts w:ascii="Calibri" w:hAnsi="Calibri" w:cs="Calibri"/>
          <w:noProof/>
          <w:sz w:val="20"/>
          <w:szCs w:val="24"/>
        </w:rPr>
        <w:t xml:space="preserve">, </w:t>
      </w:r>
      <w:r w:rsidRPr="00CE4F9B">
        <w:rPr>
          <w:rFonts w:ascii="Calibri" w:hAnsi="Calibri" w:cs="Calibri"/>
          <w:i/>
          <w:iCs/>
          <w:noProof/>
          <w:sz w:val="20"/>
          <w:szCs w:val="24"/>
        </w:rPr>
        <w:t>5</w:t>
      </w:r>
      <w:r w:rsidRPr="00CE4F9B">
        <w:rPr>
          <w:rFonts w:ascii="Calibri" w:hAnsi="Calibri" w:cs="Calibri"/>
          <w:noProof/>
          <w:sz w:val="20"/>
          <w:szCs w:val="24"/>
        </w:rPr>
        <w:t xml:space="preserve"> (11), 694–701.</w:t>
      </w:r>
    </w:p>
    <w:p w:rsidR="00CE4F9B" w:rsidRDefault="00CE4F9B" w:rsidP="00735838">
      <w:pPr>
        <w:pStyle w:val="NoSpacing"/>
        <w:jc w:val="both"/>
        <w:rPr>
          <w:sz w:val="20"/>
          <w:szCs w:val="20"/>
          <w:lang w:val="en-US"/>
        </w:rPr>
      </w:pPr>
      <w:r>
        <w:rPr>
          <w:sz w:val="20"/>
          <w:szCs w:val="20"/>
          <w:lang w:val="en-US"/>
        </w:rPr>
        <w:fldChar w:fldCharType="end"/>
      </w:r>
    </w:p>
    <w:p w:rsidR="00735838" w:rsidRPr="00CE4F9B" w:rsidRDefault="00735838" w:rsidP="00CE4F9B">
      <w:pPr>
        <w:pStyle w:val="NoSpacing"/>
        <w:jc w:val="center"/>
        <w:rPr>
          <w:b/>
          <w:sz w:val="20"/>
          <w:szCs w:val="20"/>
          <w:lang w:val="en-US"/>
        </w:rPr>
      </w:pPr>
      <w:r w:rsidRPr="00CE4F9B">
        <w:rPr>
          <w:b/>
          <w:sz w:val="20"/>
          <w:szCs w:val="20"/>
          <w:lang w:val="en-US"/>
        </w:rPr>
        <w:t>IV. Biography</w:t>
      </w:r>
    </w:p>
    <w:p w:rsidR="00735838" w:rsidRDefault="00735838" w:rsidP="00735838">
      <w:pPr>
        <w:pStyle w:val="NoSpacing"/>
        <w:jc w:val="both"/>
        <w:rPr>
          <w:sz w:val="20"/>
          <w:szCs w:val="20"/>
          <w:lang w:val="en-US"/>
        </w:rPr>
      </w:pPr>
      <w:proofErr w:type="spellStart"/>
      <w:r w:rsidRPr="00735838">
        <w:rPr>
          <w:sz w:val="20"/>
          <w:szCs w:val="20"/>
          <w:lang w:val="en-US"/>
        </w:rPr>
        <w:t>Dr</w:t>
      </w:r>
      <w:proofErr w:type="spellEnd"/>
      <w:r w:rsidRPr="00735838">
        <w:rPr>
          <w:sz w:val="20"/>
          <w:szCs w:val="20"/>
          <w:lang w:val="en-US"/>
        </w:rPr>
        <w:t xml:space="preserve"> Nathaniel Davis received his Bachelor of Advanced Science from the University of Sydney, Australia, with a double major in advanced chemistry graduating with First Class </w:t>
      </w:r>
      <w:proofErr w:type="spellStart"/>
      <w:r w:rsidRPr="00735838">
        <w:rPr>
          <w:sz w:val="20"/>
          <w:szCs w:val="20"/>
          <w:lang w:val="en-US"/>
        </w:rPr>
        <w:t>Honours</w:t>
      </w:r>
      <w:proofErr w:type="spellEnd"/>
      <w:r w:rsidRPr="00735838">
        <w:rPr>
          <w:sz w:val="20"/>
          <w:szCs w:val="20"/>
          <w:lang w:val="en-US"/>
        </w:rPr>
        <w:t xml:space="preserve"> and the University Medal. He received the Cambridge Australia Bragg Scholarship to carry out his PhD in Physics in the Optoelectronics group at the Cavendish laboratory within the University of Cambridge, United Kingdom. Completing his thesis </w:t>
      </w:r>
      <w:proofErr w:type="spellStart"/>
      <w:r w:rsidRPr="00735838">
        <w:rPr>
          <w:sz w:val="20"/>
          <w:szCs w:val="20"/>
          <w:lang w:val="en-US"/>
        </w:rPr>
        <w:t>tittled</w:t>
      </w:r>
      <w:proofErr w:type="spellEnd"/>
      <w:r w:rsidRPr="00735838">
        <w:rPr>
          <w:sz w:val="20"/>
          <w:szCs w:val="20"/>
          <w:lang w:val="en-US"/>
        </w:rPr>
        <w:t xml:space="preserve"> “Applications of Spectral Management in Optoelectronic devices” in 2016 he was then awarded the Oppenheimer Early Career Research Fellowship in 2017 at the University for Cambridge United Kingdom. </w:t>
      </w:r>
      <w:proofErr w:type="spellStart"/>
      <w:r w:rsidRPr="00735838">
        <w:rPr>
          <w:sz w:val="20"/>
          <w:szCs w:val="20"/>
          <w:lang w:val="en-US"/>
        </w:rPr>
        <w:t>Dr</w:t>
      </w:r>
      <w:proofErr w:type="spellEnd"/>
      <w:r w:rsidRPr="00735838">
        <w:rPr>
          <w:sz w:val="20"/>
          <w:szCs w:val="20"/>
          <w:lang w:val="en-US"/>
        </w:rPr>
        <w:t xml:space="preserve"> Davis has now taken up the Position of Lecturer (Assistant Professor) in Physical Chemistry at Victoria University of Wellington. In 2019 DR Davis was made an Associate investigator of the Dodd Walls Centre for Quantum Technologies. </w:t>
      </w:r>
    </w:p>
    <w:p w:rsidR="00CE4F9B" w:rsidRPr="00735838" w:rsidRDefault="00CE4F9B" w:rsidP="00735838">
      <w:pPr>
        <w:pStyle w:val="NoSpacing"/>
        <w:jc w:val="both"/>
        <w:rPr>
          <w:sz w:val="20"/>
          <w:szCs w:val="20"/>
          <w:lang w:val="en-US"/>
        </w:rPr>
      </w:pPr>
    </w:p>
    <w:p w:rsidR="00735838" w:rsidRPr="00CE4F9B" w:rsidRDefault="00735838" w:rsidP="00CE4F9B">
      <w:pPr>
        <w:pStyle w:val="NoSpacing"/>
        <w:jc w:val="center"/>
        <w:rPr>
          <w:b/>
          <w:sz w:val="20"/>
          <w:szCs w:val="20"/>
          <w:lang w:val="en-US"/>
        </w:rPr>
      </w:pPr>
      <w:r w:rsidRPr="00CE4F9B">
        <w:rPr>
          <w:b/>
          <w:sz w:val="20"/>
          <w:szCs w:val="20"/>
          <w:lang w:val="en-US"/>
        </w:rPr>
        <w:t>V.</w:t>
      </w:r>
      <w:r w:rsidR="00CE4F9B" w:rsidRPr="00CE4F9B">
        <w:rPr>
          <w:b/>
          <w:sz w:val="20"/>
          <w:szCs w:val="20"/>
          <w:lang w:val="en-US"/>
        </w:rPr>
        <w:t xml:space="preserve"> Presenting author details</w:t>
      </w:r>
    </w:p>
    <w:p w:rsidR="00735838" w:rsidRPr="00735838" w:rsidRDefault="00735838" w:rsidP="00CE4F9B">
      <w:pPr>
        <w:pStyle w:val="NoSpacing"/>
        <w:jc w:val="center"/>
        <w:rPr>
          <w:sz w:val="20"/>
          <w:szCs w:val="20"/>
          <w:lang w:val="en-US"/>
        </w:rPr>
      </w:pPr>
      <w:r w:rsidRPr="00735838">
        <w:rPr>
          <w:sz w:val="20"/>
          <w:szCs w:val="20"/>
          <w:lang w:val="en-US"/>
        </w:rPr>
        <w:pict>
          <v:shape id="_x0000_i1026" type="#_x0000_t75" style="width:155.7pt;height:155.7pt">
            <v:imagedata r:id="rId7" o:title="Nathaniel Davis Profile"/>
          </v:shape>
        </w:pict>
      </w:r>
    </w:p>
    <w:p w:rsidR="00735838" w:rsidRPr="00735838" w:rsidRDefault="00CE4F9B" w:rsidP="00735838">
      <w:pPr>
        <w:pStyle w:val="NoSpacing"/>
        <w:jc w:val="both"/>
        <w:rPr>
          <w:sz w:val="20"/>
          <w:szCs w:val="20"/>
          <w:lang w:val="en-US"/>
        </w:rPr>
      </w:pPr>
      <w:r>
        <w:rPr>
          <w:sz w:val="20"/>
          <w:szCs w:val="20"/>
          <w:lang w:val="en-US"/>
        </w:rPr>
        <w:t xml:space="preserve">Full name: </w:t>
      </w:r>
      <w:proofErr w:type="spellStart"/>
      <w:r>
        <w:rPr>
          <w:sz w:val="20"/>
          <w:szCs w:val="20"/>
          <w:lang w:val="en-US"/>
        </w:rPr>
        <w:t>Dr</w:t>
      </w:r>
      <w:proofErr w:type="spellEnd"/>
      <w:r>
        <w:rPr>
          <w:sz w:val="20"/>
          <w:szCs w:val="20"/>
          <w:lang w:val="en-US"/>
        </w:rPr>
        <w:t xml:space="preserve"> </w:t>
      </w:r>
      <w:r w:rsidR="00735838" w:rsidRPr="00735838">
        <w:rPr>
          <w:sz w:val="20"/>
          <w:szCs w:val="20"/>
          <w:lang w:val="en-US"/>
        </w:rPr>
        <w:t>Nathaniel J. L. K. Davis</w:t>
      </w:r>
    </w:p>
    <w:p w:rsidR="00735838" w:rsidRDefault="00CE4F9B" w:rsidP="00735838">
      <w:pPr>
        <w:pStyle w:val="NoSpacing"/>
        <w:jc w:val="both"/>
        <w:rPr>
          <w:sz w:val="20"/>
          <w:szCs w:val="20"/>
          <w:lang w:val="en-US"/>
        </w:rPr>
      </w:pPr>
      <w:r>
        <w:rPr>
          <w:sz w:val="20"/>
          <w:szCs w:val="20"/>
          <w:lang w:val="en-US"/>
        </w:rPr>
        <w:t xml:space="preserve">Contact number: </w:t>
      </w:r>
      <w:r w:rsidR="00735838" w:rsidRPr="00735838">
        <w:rPr>
          <w:sz w:val="20"/>
          <w:szCs w:val="20"/>
          <w:lang w:val="en-US"/>
        </w:rPr>
        <w:t>+64 4463 9693</w:t>
      </w:r>
    </w:p>
    <w:p w:rsidR="00735838" w:rsidRPr="00735838" w:rsidRDefault="00CE4F9B" w:rsidP="00735838">
      <w:pPr>
        <w:pStyle w:val="NoSpacing"/>
        <w:jc w:val="both"/>
        <w:rPr>
          <w:rFonts w:cs="Times New Roman"/>
          <w:sz w:val="20"/>
          <w:szCs w:val="20"/>
          <w:shd w:val="clear" w:color="auto" w:fill="FFFFFF"/>
          <w:lang w:val="en-US"/>
        </w:rPr>
      </w:pPr>
      <w:r>
        <w:rPr>
          <w:sz w:val="20"/>
          <w:szCs w:val="20"/>
          <w:lang w:val="en-US"/>
        </w:rPr>
        <w:t>Email: nathaniel.davis@vuw.ac.nz</w:t>
      </w:r>
      <w:bookmarkStart w:id="0" w:name="_GoBack"/>
      <w:bookmarkEnd w:id="0"/>
    </w:p>
    <w:p w:rsidR="00735838" w:rsidRPr="00735838" w:rsidRDefault="00735838" w:rsidP="00735838">
      <w:pPr>
        <w:pStyle w:val="NoSpacing"/>
        <w:jc w:val="both"/>
        <w:rPr>
          <w:sz w:val="20"/>
          <w:szCs w:val="20"/>
        </w:rPr>
      </w:pPr>
    </w:p>
    <w:sectPr w:rsidR="00735838" w:rsidRPr="00735838" w:rsidSect="00735838">
      <w:type w:val="continuous"/>
      <w:pgSz w:w="11906" w:h="16838"/>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62956"/>
    <w:multiLevelType w:val="hybridMultilevel"/>
    <w:tmpl w:val="8B86391A"/>
    <w:lvl w:ilvl="0" w:tplc="4F502D0C">
      <w:start w:val="1"/>
      <w:numFmt w:val="upperRoman"/>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838"/>
    <w:rsid w:val="00025D98"/>
    <w:rsid w:val="00735838"/>
    <w:rsid w:val="00CE4F9B"/>
    <w:rsid w:val="00F743B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FA76A"/>
  <w15:chartTrackingRefBased/>
  <w15:docId w15:val="{5DE605AB-FD59-4A51-BE8C-69FBDAB73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838"/>
    <w:pPr>
      <w:spacing w:after="200" w:line="276" w:lineRule="auto"/>
    </w:pPr>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35838"/>
    <w:pPr>
      <w:spacing w:after="0" w:line="240" w:lineRule="auto"/>
    </w:pPr>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720DA-4E19-4866-93AE-9D5D5EDD0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1666</Words>
  <Characters>9501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Victoria University of Wellington</Company>
  <LinksUpToDate>false</LinksUpToDate>
  <CharactersWithSpaces>11145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Nathaniel Davis</dc:creator>
  <cp:keywords/>
  <dc:description/>
  <cp:lastModifiedBy>Nathaniel Davis</cp:lastModifiedBy>
  <cp:revision>1</cp:revision>
  <dcterms:created xsi:type="dcterms:W3CDTF">2019-01-23T03:27:00Z</dcterms:created>
  <dcterms:modified xsi:type="dcterms:W3CDTF">2019-01-23T03:48:00Z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http://www.zotero.org/styles/american-chemical-society</vt:lpwstr>
  </property>
  <property fmtid="{D5CDD505-2E9C-101B-9397-08002B2CF9AE}" pid="3" name="Mendeley Recent Style Name 0_1">
    <vt:lpwstr>American Chemical Society</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http://www.zotero.org/styles/journal-of-materials-chemistry-c</vt:lpwstr>
  </property>
  <property fmtid="{D5CDD505-2E9C-101B-9397-08002B2CF9AE}" pid="15" name="Mendeley Recent Style Name 6_1">
    <vt:lpwstr>Journal of Materials Chemistry 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http://www.zotero.org/styles/the-journal-of-physical-chemistry-c</vt:lpwstr>
  </property>
  <property fmtid="{D5CDD505-2E9C-101B-9397-08002B2CF9AE}" pid="21" name="Mendeley Recent Style Name 9_1">
    <vt:lpwstr>The Journal of Physical Chemistry C</vt:lpwstr>
  </property>
  <property fmtid="{D5CDD505-2E9C-101B-9397-08002B2CF9AE}" pid="22" name="Mendeley Document_1">
    <vt:lpwstr>True</vt:lpwstr>
  </property>
  <property fmtid="{D5CDD505-2E9C-101B-9397-08002B2CF9AE}" pid="23" name="Mendeley Unique User Id_1">
    <vt:lpwstr>0e03952d-79b8-3780-8aa1-04517699ee8b</vt:lpwstr>
  </property>
  <property fmtid="{D5CDD505-2E9C-101B-9397-08002B2CF9AE}" pid="24" name="Mendeley Citation Style_1">
    <vt:lpwstr>http://www.zotero.org/styles/the-journal-of-physical-chemistry-c</vt:lpwstr>
  </property>
</Properties>
</file>