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8CD98" w14:textId="77777777" w:rsidR="0062711D" w:rsidRPr="00EC2DFF" w:rsidRDefault="0062711D" w:rsidP="00535EBE">
      <w:pPr>
        <w:autoSpaceDE w:val="0"/>
        <w:autoSpaceDN w:val="0"/>
        <w:adjustRightInd w:val="0"/>
        <w:spacing w:after="0"/>
        <w:jc w:val="center"/>
        <w:rPr>
          <w:rFonts w:cstheme="minorHAnsi"/>
          <w:b/>
          <w:sz w:val="24"/>
          <w:szCs w:val="24"/>
          <w:lang w:val="en-IN" w:bidi="he-IL"/>
        </w:rPr>
      </w:pPr>
      <w:bookmarkStart w:id="0" w:name="_Hlk124603293"/>
      <w:r w:rsidRPr="00EC2DFF">
        <w:rPr>
          <w:rFonts w:cstheme="minorHAnsi"/>
          <w:b/>
          <w:sz w:val="24"/>
          <w:szCs w:val="24"/>
          <w:lang w:val="en-IN" w:bidi="he-IL"/>
        </w:rPr>
        <w:t xml:space="preserve">Effect of the Selected Secondary Metabolites of </w:t>
      </w:r>
      <w:r w:rsidRPr="00EC2DFF">
        <w:rPr>
          <w:rFonts w:cstheme="minorHAnsi"/>
          <w:b/>
          <w:i/>
          <w:iCs/>
          <w:sz w:val="24"/>
          <w:szCs w:val="24"/>
          <w:lang w:val="en-IN" w:bidi="he-IL"/>
        </w:rPr>
        <w:t xml:space="preserve">Terminalia arjuna </w:t>
      </w:r>
      <w:r w:rsidRPr="00EC2DFF">
        <w:rPr>
          <w:rFonts w:cstheme="minorHAnsi"/>
          <w:b/>
          <w:sz w:val="24"/>
          <w:szCs w:val="24"/>
          <w:lang w:val="en-IN" w:bidi="he-IL"/>
        </w:rPr>
        <w:t>(Roxb.) Wight &amp; Arn. on Oxidative Stress and Inflammation</w:t>
      </w:r>
    </w:p>
    <w:p w14:paraId="42A3EC47" w14:textId="77777777" w:rsidR="0062711D" w:rsidRPr="00EC2DFF" w:rsidRDefault="0062711D" w:rsidP="00535EBE">
      <w:pPr>
        <w:autoSpaceDE w:val="0"/>
        <w:autoSpaceDN w:val="0"/>
        <w:adjustRightInd w:val="0"/>
        <w:spacing w:after="0"/>
        <w:jc w:val="center"/>
        <w:rPr>
          <w:rFonts w:cstheme="minorHAnsi"/>
          <w:sz w:val="24"/>
          <w:szCs w:val="24"/>
          <w:lang w:val="en-IN" w:bidi="he-IL"/>
        </w:rPr>
      </w:pPr>
      <w:r w:rsidRPr="00EC2DFF">
        <w:rPr>
          <w:rFonts w:cstheme="minorHAnsi"/>
          <w:sz w:val="24"/>
          <w:szCs w:val="24"/>
          <w:u w:val="single"/>
          <w:lang w:val="en-IN" w:bidi="he-IL"/>
        </w:rPr>
        <w:t>Satyabrata Acharya</w:t>
      </w:r>
      <w:r w:rsidRPr="00EC2DFF">
        <w:rPr>
          <w:rFonts w:cstheme="minorHAnsi"/>
          <w:sz w:val="24"/>
          <w:szCs w:val="24"/>
          <w:u w:val="single"/>
          <w:vertAlign w:val="superscript"/>
          <w:lang w:val="en-IN" w:bidi="he-IL"/>
        </w:rPr>
        <w:t>1</w:t>
      </w:r>
      <w:r w:rsidRPr="00EC2DFF">
        <w:rPr>
          <w:rFonts w:cstheme="minorHAnsi"/>
          <w:sz w:val="24"/>
          <w:szCs w:val="24"/>
          <w:lang w:val="en-IN" w:bidi="he-IL"/>
        </w:rPr>
        <w:t>, AS Raghavendra</w:t>
      </w:r>
      <w:r w:rsidRPr="00EC2DFF">
        <w:rPr>
          <w:rFonts w:cstheme="minorHAnsi"/>
          <w:sz w:val="24"/>
          <w:szCs w:val="24"/>
          <w:vertAlign w:val="superscript"/>
          <w:lang w:val="en-IN" w:bidi="he-IL"/>
        </w:rPr>
        <w:t>1</w:t>
      </w:r>
      <w:r w:rsidRPr="00EC2DFF">
        <w:rPr>
          <w:rFonts w:cstheme="minorHAnsi"/>
          <w:sz w:val="24"/>
          <w:szCs w:val="24"/>
          <w:lang w:val="en-IN" w:bidi="he-IL"/>
        </w:rPr>
        <w:t>, Sarada D. Tetali</w:t>
      </w:r>
      <w:r w:rsidRPr="00EC2DFF">
        <w:rPr>
          <w:rFonts w:cstheme="minorHAnsi"/>
          <w:sz w:val="24"/>
          <w:szCs w:val="24"/>
          <w:vertAlign w:val="superscript"/>
          <w:lang w:val="en-IN" w:bidi="he-IL"/>
        </w:rPr>
        <w:t>1</w:t>
      </w:r>
      <w:r w:rsidRPr="00EC2DFF">
        <w:rPr>
          <w:rFonts w:cstheme="minorHAnsi"/>
          <w:sz w:val="24"/>
          <w:szCs w:val="24"/>
          <w:lang w:val="en-IN" w:bidi="he-IL"/>
        </w:rPr>
        <w:t>*</w:t>
      </w:r>
    </w:p>
    <w:p w14:paraId="25AC3224" w14:textId="77777777" w:rsidR="0062711D" w:rsidRPr="00EC2DFF" w:rsidRDefault="0062711D" w:rsidP="00535EBE">
      <w:pPr>
        <w:autoSpaceDE w:val="0"/>
        <w:autoSpaceDN w:val="0"/>
        <w:adjustRightInd w:val="0"/>
        <w:spacing w:after="0"/>
        <w:jc w:val="center"/>
        <w:rPr>
          <w:rFonts w:cstheme="minorHAnsi"/>
          <w:sz w:val="24"/>
          <w:szCs w:val="24"/>
          <w:lang w:val="en-IN" w:bidi="he-IL"/>
        </w:rPr>
      </w:pPr>
      <w:r w:rsidRPr="00EC2DFF">
        <w:rPr>
          <w:rFonts w:cstheme="minorHAnsi"/>
          <w:sz w:val="24"/>
          <w:szCs w:val="24"/>
          <w:vertAlign w:val="superscript"/>
          <w:lang w:val="en-IN" w:bidi="he-IL"/>
        </w:rPr>
        <w:t>1</w:t>
      </w:r>
      <w:r w:rsidRPr="00EC2DFF">
        <w:rPr>
          <w:rFonts w:cstheme="minorHAnsi"/>
          <w:sz w:val="24"/>
          <w:szCs w:val="24"/>
          <w:lang w:val="en-IN" w:bidi="he-IL"/>
        </w:rPr>
        <w:t>Department of Plant Sciences, School of Life Sciences, University of Hyderabad,</w:t>
      </w:r>
    </w:p>
    <w:p w14:paraId="5A0C5A74" w14:textId="77777777" w:rsidR="0062711D" w:rsidRPr="00EC2DFF" w:rsidRDefault="0062711D" w:rsidP="00535EBE">
      <w:pPr>
        <w:autoSpaceDE w:val="0"/>
        <w:autoSpaceDN w:val="0"/>
        <w:adjustRightInd w:val="0"/>
        <w:spacing w:after="0"/>
        <w:jc w:val="center"/>
        <w:rPr>
          <w:rFonts w:cstheme="minorHAnsi"/>
          <w:sz w:val="24"/>
          <w:szCs w:val="24"/>
          <w:lang w:val="en-IN" w:bidi="he-IL"/>
        </w:rPr>
      </w:pPr>
      <w:r w:rsidRPr="00EC2DFF">
        <w:rPr>
          <w:rFonts w:cstheme="minorHAnsi"/>
          <w:sz w:val="24"/>
          <w:szCs w:val="24"/>
          <w:lang w:val="en-IN" w:bidi="he-IL"/>
        </w:rPr>
        <w:t>Hyderabad – 500 046, TS, India</w:t>
      </w:r>
    </w:p>
    <w:p w14:paraId="26F70A01" w14:textId="77777777" w:rsidR="0062711D" w:rsidRPr="00EC2DFF" w:rsidRDefault="0062711D" w:rsidP="00535EBE">
      <w:pPr>
        <w:autoSpaceDE w:val="0"/>
        <w:autoSpaceDN w:val="0"/>
        <w:adjustRightInd w:val="0"/>
        <w:spacing w:after="0"/>
        <w:jc w:val="center"/>
        <w:rPr>
          <w:rFonts w:cstheme="minorHAnsi"/>
          <w:sz w:val="24"/>
          <w:szCs w:val="24"/>
          <w:lang w:val="en-IN" w:bidi="he-IL"/>
        </w:rPr>
      </w:pPr>
      <w:r w:rsidRPr="00EC2DFF">
        <w:rPr>
          <w:rFonts w:cstheme="minorHAnsi"/>
          <w:sz w:val="24"/>
          <w:szCs w:val="24"/>
          <w:lang w:val="en-IN" w:bidi="he-IL"/>
        </w:rPr>
        <w:t>*stetali@uohyd.ac.in</w:t>
      </w:r>
    </w:p>
    <w:p w14:paraId="6E47977C" w14:textId="7F1EF91F" w:rsidR="0062711D" w:rsidRPr="00EC2DFF" w:rsidRDefault="0062711D" w:rsidP="00535EBE">
      <w:pPr>
        <w:pBdr>
          <w:bottom w:val="single" w:sz="4" w:space="0" w:color="auto"/>
        </w:pBdr>
        <w:autoSpaceDE w:val="0"/>
        <w:autoSpaceDN w:val="0"/>
        <w:adjustRightInd w:val="0"/>
        <w:spacing w:after="0" w:line="360" w:lineRule="auto"/>
        <w:jc w:val="both"/>
        <w:rPr>
          <w:rFonts w:ascii="Times New Roman" w:hAnsi="Times New Roman" w:cs="Times New Roman"/>
          <w:sz w:val="24"/>
          <w:szCs w:val="24"/>
          <w:lang w:val="en-IN" w:bidi="he-IL"/>
        </w:rPr>
      </w:pPr>
    </w:p>
    <w:bookmarkEnd w:id="0"/>
    <w:p w14:paraId="4B8B690E" w14:textId="77777777" w:rsidR="0062711D" w:rsidRPr="00EC2DFF" w:rsidRDefault="0062711D" w:rsidP="00EC2DFF">
      <w:pPr>
        <w:autoSpaceDE w:val="0"/>
        <w:autoSpaceDN w:val="0"/>
        <w:adjustRightInd w:val="0"/>
        <w:spacing w:after="0" w:line="360" w:lineRule="auto"/>
        <w:jc w:val="both"/>
        <w:rPr>
          <w:rFonts w:ascii="Times New Roman" w:hAnsi="Times New Roman" w:cs="Times New Roman"/>
          <w:sz w:val="24"/>
          <w:szCs w:val="24"/>
          <w:lang w:val="en-IN" w:bidi="he-IL"/>
        </w:rPr>
      </w:pPr>
    </w:p>
    <w:p w14:paraId="73500396" w14:textId="77777777" w:rsidR="00F67417" w:rsidRPr="00EC2DFF" w:rsidRDefault="00F67417" w:rsidP="00EC2DFF">
      <w:pPr>
        <w:autoSpaceDE w:val="0"/>
        <w:autoSpaceDN w:val="0"/>
        <w:adjustRightInd w:val="0"/>
        <w:spacing w:after="0" w:line="360" w:lineRule="auto"/>
        <w:jc w:val="both"/>
        <w:rPr>
          <w:rFonts w:cstheme="minorHAnsi"/>
          <w:sz w:val="24"/>
          <w:szCs w:val="24"/>
        </w:rPr>
      </w:pPr>
      <w:r w:rsidRPr="00EC2DFF">
        <w:rPr>
          <w:rFonts w:cstheme="minorHAnsi"/>
          <w:sz w:val="24"/>
          <w:szCs w:val="24"/>
          <w:lang w:val="en-IN" w:bidi="he-IL"/>
        </w:rPr>
        <w:t xml:space="preserve">Plants with medicinal plants have been used for millennia in traditional medical practises across the world to treat, manage, and prevent a variety of illnesses. Medicinal plants are rich in chemical compounds some of which are being developed as drug molecules. </w:t>
      </w:r>
      <w:r w:rsidRPr="00EC2DFF">
        <w:rPr>
          <w:rFonts w:cstheme="minorHAnsi"/>
          <w:color w:val="333333"/>
          <w:sz w:val="24"/>
          <w:szCs w:val="24"/>
          <w:shd w:val="clear" w:color="auto" w:fill="FFFFFF"/>
        </w:rPr>
        <w:t xml:space="preserve">Atherosclerosis, a major cardiovascular disease (CVD) and is characterized as a blood vessel wall disease and is developed due to oxidative stress, inflammation and thrombosis. Imbalance in production and accumulation of reactive oxygen species (ROS) in the body can lead to the oxidative stress. Oxidative stress translocate transcription factor </w:t>
      </w:r>
      <w:r w:rsidRPr="00EC2DFF">
        <w:rPr>
          <w:rFonts w:cstheme="minorHAnsi"/>
          <w:sz w:val="24"/>
          <w:szCs w:val="24"/>
        </w:rPr>
        <w:t xml:space="preserve">NF-κB (nuclear factor- κB) and AP-1 (activator protein-1) into the nucleus and activates proinflammatory cytokines (TNF-α, MCP-1 IL-6, IL-8) and adhesion molecules like vascular cell adhesion molecule-1 (VCAM-1), intracellular adhesion molecule-1 (ICAM-1), endothelial selectin (E-Selectin). These activated molecules accelerate atherosclerosis by stimulating adhesion of neutrophils to endothelium </w:t>
      </w:r>
      <w:r w:rsidRPr="00EC2DFF">
        <w:rPr>
          <w:rFonts w:cstheme="minorHAnsi"/>
          <w:i/>
          <w:sz w:val="24"/>
          <w:szCs w:val="24"/>
        </w:rPr>
        <w:t>via</w:t>
      </w:r>
      <w:r w:rsidRPr="00EC2DFF">
        <w:rPr>
          <w:rFonts w:cstheme="minorHAnsi"/>
          <w:sz w:val="24"/>
          <w:szCs w:val="24"/>
        </w:rPr>
        <w:t xml:space="preserve"> endothelial dysfunction.  </w:t>
      </w:r>
      <w:r w:rsidRPr="00EC2DFF">
        <w:rPr>
          <w:rFonts w:cstheme="minorHAnsi"/>
          <w:color w:val="333333"/>
          <w:sz w:val="24"/>
          <w:szCs w:val="24"/>
          <w:shd w:val="clear" w:color="auto" w:fill="FFFFFF"/>
        </w:rPr>
        <w:t>H</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O</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 xml:space="preserve"> is a potent member of the ROS family which induces diverse set of physiological response. Catalase (CAT) enzyme has proven to be a primary enzyme that scavenges intracellular H</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O</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 xml:space="preserve"> and converts it into water and oxygen. In this study oxidative stress in the cells was investigated by detecting H</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O</w:t>
      </w:r>
      <w:r w:rsidRPr="00EC2DFF">
        <w:rPr>
          <w:rFonts w:cstheme="minorHAnsi"/>
          <w:color w:val="333333"/>
          <w:sz w:val="24"/>
          <w:szCs w:val="24"/>
          <w:shd w:val="clear" w:color="auto" w:fill="FFFFFF"/>
          <w:vertAlign w:val="subscript"/>
        </w:rPr>
        <w:t xml:space="preserve">2 </w:t>
      </w:r>
      <w:r w:rsidRPr="00EC2DFF">
        <w:rPr>
          <w:rFonts w:cstheme="minorHAnsi"/>
          <w:color w:val="333333"/>
          <w:sz w:val="24"/>
          <w:szCs w:val="24"/>
          <w:shd w:val="clear" w:color="auto" w:fill="FFFFFF"/>
        </w:rPr>
        <w:t>using the fluorescence probe 2,7- dichlorofluroescin diacetate (H</w:t>
      </w:r>
      <w:r w:rsidRPr="00EC2DFF">
        <w:rPr>
          <w:rFonts w:cstheme="minorHAnsi"/>
          <w:color w:val="333333"/>
          <w:sz w:val="24"/>
          <w:szCs w:val="24"/>
          <w:shd w:val="clear" w:color="auto" w:fill="FFFFFF"/>
          <w:vertAlign w:val="subscript"/>
        </w:rPr>
        <w:t>2</w:t>
      </w:r>
      <w:r w:rsidRPr="00EC2DFF">
        <w:rPr>
          <w:rFonts w:cstheme="minorHAnsi"/>
          <w:color w:val="333333"/>
          <w:sz w:val="24"/>
          <w:szCs w:val="24"/>
          <w:shd w:val="clear" w:color="auto" w:fill="FFFFFF"/>
        </w:rPr>
        <w:t xml:space="preserve">DCFDA). Arachidonic acid (AA) was used to induce ROS. </w:t>
      </w:r>
      <w:r w:rsidRPr="00EC2DFF">
        <w:rPr>
          <w:rFonts w:cstheme="minorHAnsi"/>
          <w:sz w:val="24"/>
          <w:szCs w:val="24"/>
        </w:rPr>
        <w:t xml:space="preserve">TNF-α, MCP-1 IL-6, IL-8 </w:t>
      </w:r>
      <w:r w:rsidRPr="00EC2DFF">
        <w:rPr>
          <w:rFonts w:cstheme="minorHAnsi"/>
          <w:color w:val="333333"/>
          <w:sz w:val="24"/>
          <w:szCs w:val="24"/>
          <w:shd w:val="clear" w:color="auto" w:fill="FFFFFF"/>
        </w:rPr>
        <w:t>multifunctional cytokine produced by various cell types is involved in immune defense mechanism against infection and is strongly involved manifestation of chronic inflammatory condition a</w:t>
      </w:r>
      <w:r w:rsidRPr="00EC2DFF">
        <w:rPr>
          <w:rFonts w:cstheme="minorHAnsi"/>
          <w:sz w:val="24"/>
          <w:szCs w:val="24"/>
        </w:rPr>
        <w:t xml:space="preserve">nd are key factor involved in atherogenesis. </w:t>
      </w:r>
      <w:r w:rsidRPr="00EC2DFF">
        <w:rPr>
          <w:rFonts w:cstheme="minorHAnsi"/>
          <w:color w:val="333333"/>
          <w:sz w:val="24"/>
          <w:szCs w:val="24"/>
          <w:shd w:val="clear" w:color="auto" w:fill="FFFFFF"/>
        </w:rPr>
        <w:t>In the present work, a few selected metabolites of R. serpentina root extracts and selected metabolites are studied to evaluate their effect in scavenging AA induced ROS and attenuation of Pro-inflammatory markers in lipopolysaccharides (LPS) induced human monocytic (THP-1) cells.</w:t>
      </w:r>
    </w:p>
    <w:p w14:paraId="7FCB8616" w14:textId="77777777" w:rsidR="00535EBE" w:rsidRDefault="00535EBE" w:rsidP="00EC2DFF">
      <w:pPr>
        <w:spacing w:line="360" w:lineRule="auto"/>
        <w:rPr>
          <w:sz w:val="24"/>
          <w:szCs w:val="24"/>
        </w:rPr>
      </w:pPr>
    </w:p>
    <w:p w14:paraId="7018C9DB" w14:textId="77777777" w:rsidR="00535EBE" w:rsidRDefault="00535EBE" w:rsidP="00EC2DFF">
      <w:pPr>
        <w:spacing w:line="360" w:lineRule="auto"/>
        <w:rPr>
          <w:sz w:val="24"/>
          <w:szCs w:val="24"/>
        </w:rPr>
      </w:pPr>
    </w:p>
    <w:p w14:paraId="1FA9A09C" w14:textId="3DE40822" w:rsidR="0062711D" w:rsidRPr="00EC2DFF" w:rsidRDefault="0062711D" w:rsidP="00EC2DFF">
      <w:pPr>
        <w:spacing w:line="360" w:lineRule="auto"/>
        <w:rPr>
          <w:sz w:val="24"/>
          <w:szCs w:val="24"/>
        </w:rPr>
      </w:pPr>
      <w:r w:rsidRPr="00EC2DFF">
        <w:rPr>
          <w:sz w:val="24"/>
          <w:szCs w:val="24"/>
        </w:rPr>
        <w:lastRenderedPageBreak/>
        <w:t>About research topic</w:t>
      </w:r>
    </w:p>
    <w:p w14:paraId="014F4A92" w14:textId="1156AE52" w:rsidR="0079118C" w:rsidRPr="00EC2DFF" w:rsidRDefault="0079118C" w:rsidP="00EC2DFF">
      <w:pPr>
        <w:spacing w:line="360" w:lineRule="auto"/>
        <w:jc w:val="both"/>
        <w:rPr>
          <w:rFonts w:cstheme="minorHAnsi"/>
          <w:color w:val="212121"/>
          <w:sz w:val="24"/>
          <w:szCs w:val="24"/>
          <w:shd w:val="clear" w:color="auto" w:fill="FFFFFF"/>
        </w:rPr>
      </w:pPr>
      <w:r w:rsidRPr="00EC2DFF">
        <w:rPr>
          <w:rFonts w:cstheme="minorHAnsi"/>
          <w:sz w:val="24"/>
          <w:szCs w:val="24"/>
        </w:rPr>
        <w:t>Cardiovascular disease is class of diseases that affect heart and blood vessels. It includes different critical condition including coronary artery disease, heart failure and peripheral artery disease. It is becoming the leading cause of death worldwide, estimating 17.9 million deaths every year.</w:t>
      </w:r>
      <w:r w:rsidRPr="00EC2DFF">
        <w:rPr>
          <w:rFonts w:cstheme="minorHAnsi"/>
          <w:sz w:val="24"/>
          <w:szCs w:val="24"/>
          <w:lang w:val="en-IN" w:bidi="he-IL"/>
        </w:rPr>
        <w:t xml:space="preserve"> </w:t>
      </w:r>
      <w:r w:rsidRPr="00EC2DFF">
        <w:rPr>
          <w:rFonts w:cstheme="minorHAnsi"/>
          <w:color w:val="333333"/>
          <w:sz w:val="24"/>
          <w:szCs w:val="24"/>
          <w:shd w:val="clear" w:color="auto" w:fill="FFFFFF"/>
        </w:rPr>
        <w:t xml:space="preserve">Atherosclerosis, a major cardiovascular disease (CVD) and is characterized as a blood vessel wall disease and is developed due to oxidative stress, inflammation and thrombosis. Atherosclerosis is the major underlying pathology of cerebrovascular diseases, coronary artery disease and peripheral arterial disease. Atherosclerosis is a diffuse inflammatory process. </w:t>
      </w:r>
      <w:r w:rsidRPr="00EC2DFF">
        <w:rPr>
          <w:rFonts w:cstheme="minorHAnsi"/>
          <w:color w:val="212121"/>
          <w:sz w:val="24"/>
          <w:szCs w:val="24"/>
          <w:shd w:val="clear" w:color="auto" w:fill="FFFFFF"/>
        </w:rPr>
        <w:t xml:space="preserve">The atherosclerotic process is initiated when cholesterol-containing low-density lipoproteins accumulate in the intima and activate the endothelium. Leukocyte adhesion molecules and chemokines promote recruitment of monocytes and T cells. Monocytes differentiate into macrophages and upregulate pattern recognition receptors, including scavenger receptors and toll-like receptors. Scavenger receptors mediate lipoprotein internalization, which leads to foam-cell formation. Toll-like receptors transmit activating signals that lead to the release of cytokines, proteases, and vasoactive molecules. T cells in lesions recognize local antigens and mount T helper-1 responses with secretion of pro-inflammatory cytokines that contribute to local inflammation and growth of the plaque. Intensified inflammatory activation may lead to local proteolysis, plaque rupture, and thrombus formation, which causes ischemia and infarction. Inflammatory markers are already used to monitor the disease process and anti-inflammatory therapy may be useful to control disease </w:t>
      </w:r>
      <w:r w:rsidR="00535EBE" w:rsidRPr="00EC2DFF">
        <w:rPr>
          <w:rFonts w:cstheme="minorHAnsi"/>
          <w:color w:val="212121"/>
          <w:sz w:val="24"/>
          <w:szCs w:val="24"/>
          <w:shd w:val="clear" w:color="auto" w:fill="FFFFFF"/>
        </w:rPr>
        <w:t>activity.</w:t>
      </w:r>
    </w:p>
    <w:p w14:paraId="23F4CC53" w14:textId="42D19B69" w:rsidR="0079118C" w:rsidRPr="00535EBE" w:rsidRDefault="0079118C" w:rsidP="00EC2DFF">
      <w:pPr>
        <w:spacing w:line="360" w:lineRule="auto"/>
        <w:rPr>
          <w:b/>
          <w:bCs/>
          <w:sz w:val="24"/>
          <w:szCs w:val="24"/>
        </w:rPr>
      </w:pPr>
      <w:r w:rsidRPr="00535EBE">
        <w:rPr>
          <w:b/>
          <w:bCs/>
          <w:sz w:val="24"/>
          <w:szCs w:val="24"/>
        </w:rPr>
        <w:t>About the institution:</w:t>
      </w:r>
    </w:p>
    <w:p w14:paraId="0B5304A4" w14:textId="1F88CAB0" w:rsidR="0079118C" w:rsidRDefault="0079118C" w:rsidP="00EC2DFF">
      <w:pPr>
        <w:spacing w:line="360" w:lineRule="auto"/>
        <w:jc w:val="both"/>
        <w:rPr>
          <w:sz w:val="24"/>
          <w:szCs w:val="24"/>
        </w:rPr>
      </w:pPr>
      <w:r w:rsidRPr="00EC2DFF">
        <w:rPr>
          <w:sz w:val="24"/>
          <w:szCs w:val="24"/>
        </w:rPr>
        <w:t>University of Hyderabad found in 1970 is situated in Hyderabad, Telangana, India is top ranking central research university over 5000 student population across various streams and 400 faculty from various disciplines.</w:t>
      </w:r>
      <w:r w:rsidR="001D4F18" w:rsidRPr="00EC2DFF">
        <w:rPr>
          <w:sz w:val="24"/>
          <w:szCs w:val="24"/>
        </w:rPr>
        <w:t xml:space="preserve"> It is among top 200 universities in Asia. This university is funded by various funding agencies in India such as </w:t>
      </w:r>
      <w:r w:rsidR="001D4F18" w:rsidRPr="00EC2DFF">
        <w:rPr>
          <w:sz w:val="24"/>
          <w:szCs w:val="24"/>
          <w:lang w:val="en-IN"/>
        </w:rPr>
        <w:t xml:space="preserve">Department of Biotechnology, University Grant commission, Indian council of medical research, </w:t>
      </w:r>
      <w:r w:rsidR="001D4F18" w:rsidRPr="00EC2DFF">
        <w:rPr>
          <w:sz w:val="24"/>
          <w:szCs w:val="24"/>
          <w:lang w:val="en-IN"/>
        </w:rPr>
        <w:t>Council of Scientific &amp; Industrial Research</w:t>
      </w:r>
      <w:r w:rsidR="00EC05D1" w:rsidRPr="00EC2DFF">
        <w:rPr>
          <w:sz w:val="24"/>
          <w:szCs w:val="24"/>
          <w:lang w:val="en-IN"/>
        </w:rPr>
        <w:t xml:space="preserve">. </w:t>
      </w:r>
      <w:r w:rsidR="00EC05D1" w:rsidRPr="00EC2DFF">
        <w:rPr>
          <w:sz w:val="24"/>
          <w:szCs w:val="24"/>
        </w:rPr>
        <w:t>The University of Hyderabad is well-known for putting a strong emphasis on both new ideas and research.</w:t>
      </w:r>
      <w:r w:rsidR="00EC05D1" w:rsidRPr="00EC2DFF">
        <w:rPr>
          <w:sz w:val="24"/>
          <w:szCs w:val="24"/>
        </w:rPr>
        <w:t xml:space="preserve"> </w:t>
      </w:r>
      <w:r w:rsidR="00EC05D1" w:rsidRPr="00EC2DFF">
        <w:rPr>
          <w:sz w:val="24"/>
          <w:szCs w:val="24"/>
        </w:rPr>
        <w:t xml:space="preserve">It has best-in-class research </w:t>
      </w:r>
      <w:r w:rsidR="00EC05D1" w:rsidRPr="00EC2DFF">
        <w:rPr>
          <w:sz w:val="24"/>
          <w:szCs w:val="24"/>
        </w:rPr>
        <w:t>labs</w:t>
      </w:r>
      <w:r w:rsidR="00EC05D1" w:rsidRPr="00EC2DFF">
        <w:rPr>
          <w:sz w:val="24"/>
          <w:szCs w:val="24"/>
        </w:rPr>
        <w:t>, focuses, and organizes that help state of the art research in assorted fields.</w:t>
      </w:r>
      <w:r w:rsidR="00EC05D1" w:rsidRPr="00EC2DFF">
        <w:rPr>
          <w:sz w:val="24"/>
          <w:szCs w:val="24"/>
        </w:rPr>
        <w:t xml:space="preserve"> </w:t>
      </w:r>
      <w:r w:rsidR="00EC05D1" w:rsidRPr="00EC2DFF">
        <w:rPr>
          <w:sz w:val="24"/>
          <w:szCs w:val="24"/>
        </w:rPr>
        <w:t xml:space="preserve">The university encourages interdisciplinary </w:t>
      </w:r>
      <w:r w:rsidR="00EC05D1" w:rsidRPr="00EC2DFF">
        <w:rPr>
          <w:sz w:val="24"/>
          <w:szCs w:val="24"/>
        </w:rPr>
        <w:lastRenderedPageBreak/>
        <w:t>research collaborations and has made significant contributions to scientific research, technology development, and social sciences.</w:t>
      </w:r>
    </w:p>
    <w:p w14:paraId="280BC552" w14:textId="62924B1B" w:rsidR="00EC2DFF" w:rsidRPr="00535EBE" w:rsidRDefault="00EC2DFF" w:rsidP="00EC2DFF">
      <w:pPr>
        <w:spacing w:line="360" w:lineRule="auto"/>
        <w:jc w:val="both"/>
        <w:rPr>
          <w:b/>
          <w:bCs/>
          <w:sz w:val="24"/>
          <w:szCs w:val="24"/>
        </w:rPr>
      </w:pPr>
      <w:r w:rsidRPr="00535EBE">
        <w:rPr>
          <w:b/>
          <w:bCs/>
          <w:sz w:val="24"/>
          <w:szCs w:val="24"/>
        </w:rPr>
        <w:t>References</w:t>
      </w:r>
    </w:p>
    <w:p w14:paraId="54F24391" w14:textId="5CACFA18" w:rsidR="00961550" w:rsidRPr="00961550" w:rsidRDefault="00961550" w:rsidP="00961550">
      <w:pPr>
        <w:spacing w:line="360" w:lineRule="auto"/>
        <w:ind w:left="720" w:hanging="720"/>
        <w:jc w:val="both"/>
        <w:rPr>
          <w:sz w:val="24"/>
          <w:szCs w:val="24"/>
        </w:rPr>
      </w:pPr>
      <w:r w:rsidRPr="00961550">
        <w:rPr>
          <w:sz w:val="24"/>
          <w:szCs w:val="24"/>
        </w:rPr>
        <w:t xml:space="preserve">Choudhury, S.S., Bashyam, L., Manthapuram, N., Bitla, P., Kollipara, P., Tetali, S.D., 2014.Ocimum sanctum leaf extracts attenuate human monocytic (THP-1) cell activation. J.Ethnopharmacol. 154, 148–155. </w:t>
      </w:r>
      <w:hyperlink r:id="rId5" w:history="1">
        <w:r w:rsidRPr="00961550">
          <w:rPr>
            <w:rStyle w:val="Hyperlink"/>
            <w:sz w:val="24"/>
            <w:szCs w:val="24"/>
          </w:rPr>
          <w:t>https://doi.org/10.1016/j.jep.2014.03.049</w:t>
        </w:r>
      </w:hyperlink>
      <w:r w:rsidRPr="00961550">
        <w:rPr>
          <w:sz w:val="24"/>
          <w:szCs w:val="24"/>
        </w:rPr>
        <w:t xml:space="preserve"> </w:t>
      </w:r>
    </w:p>
    <w:p w14:paraId="40F12D18" w14:textId="77777777" w:rsidR="00961550" w:rsidRPr="00961550" w:rsidRDefault="00961550" w:rsidP="00961550">
      <w:pPr>
        <w:spacing w:line="360" w:lineRule="auto"/>
        <w:ind w:left="720" w:hanging="720"/>
        <w:jc w:val="both"/>
        <w:rPr>
          <w:sz w:val="24"/>
          <w:szCs w:val="24"/>
        </w:rPr>
      </w:pPr>
      <w:r w:rsidRPr="00961550">
        <w:rPr>
          <w:sz w:val="24"/>
          <w:szCs w:val="24"/>
        </w:rPr>
        <w:t>Diwan, V., Poudyal, H., Brown, L., 2013. Piperine attenuates cardiovascular, liver and</w:t>
      </w:r>
      <w:r w:rsidRPr="00961550">
        <w:rPr>
          <w:sz w:val="24"/>
          <w:szCs w:val="24"/>
        </w:rPr>
        <w:t xml:space="preserve"> </w:t>
      </w:r>
      <w:r w:rsidRPr="00961550">
        <w:rPr>
          <w:sz w:val="24"/>
          <w:szCs w:val="24"/>
        </w:rPr>
        <w:t xml:space="preserve">metabolic changes in high carbohydrate, high fat-fed rats. Cell Biochem. Biophys. 67,297–304. </w:t>
      </w:r>
      <w:hyperlink r:id="rId6" w:history="1">
        <w:r w:rsidRPr="00961550">
          <w:rPr>
            <w:rStyle w:val="Hyperlink"/>
            <w:sz w:val="24"/>
            <w:szCs w:val="24"/>
          </w:rPr>
          <w:t>https://doi.org/10.1007/s12013-011-9306-1</w:t>
        </w:r>
      </w:hyperlink>
      <w:r w:rsidRPr="00961550">
        <w:rPr>
          <w:sz w:val="24"/>
          <w:szCs w:val="24"/>
        </w:rPr>
        <w:t xml:space="preserve"> </w:t>
      </w:r>
    </w:p>
    <w:p w14:paraId="7D41B716" w14:textId="63A965CA" w:rsidR="00961550" w:rsidRPr="00961550" w:rsidRDefault="00961550" w:rsidP="00961550">
      <w:pPr>
        <w:spacing w:line="360" w:lineRule="auto"/>
        <w:ind w:left="720" w:hanging="720"/>
        <w:jc w:val="both"/>
        <w:rPr>
          <w:sz w:val="24"/>
          <w:szCs w:val="24"/>
        </w:rPr>
      </w:pPr>
      <w:r w:rsidRPr="00961550">
        <w:rPr>
          <w:sz w:val="24"/>
          <w:szCs w:val="24"/>
        </w:rPr>
        <w:t xml:space="preserve">Goldstein, J.L., Brown, M.S., 2009. The LDL receptor. Arterioscler. Thromb. Vasc. Biol. 29,431–438. </w:t>
      </w:r>
      <w:hyperlink r:id="rId7" w:history="1">
        <w:r w:rsidRPr="00961550">
          <w:rPr>
            <w:rStyle w:val="Hyperlink"/>
            <w:sz w:val="24"/>
            <w:szCs w:val="24"/>
          </w:rPr>
          <w:t>https://doi.org/10.1161/ATVBAHA.108.179564</w:t>
        </w:r>
      </w:hyperlink>
      <w:r w:rsidRPr="00961550">
        <w:rPr>
          <w:sz w:val="24"/>
          <w:szCs w:val="24"/>
        </w:rPr>
        <w:t xml:space="preserve"> </w:t>
      </w:r>
    </w:p>
    <w:p w14:paraId="43322FD3" w14:textId="0D5C5B69" w:rsidR="00961550" w:rsidRPr="00961550" w:rsidRDefault="00961550" w:rsidP="00961550">
      <w:pPr>
        <w:spacing w:line="360" w:lineRule="auto"/>
        <w:ind w:left="720" w:hanging="720"/>
        <w:jc w:val="both"/>
        <w:rPr>
          <w:sz w:val="24"/>
          <w:szCs w:val="24"/>
        </w:rPr>
      </w:pPr>
      <w:r w:rsidRPr="00961550">
        <w:rPr>
          <w:sz w:val="24"/>
          <w:szCs w:val="24"/>
        </w:rPr>
        <w:t>Hennig, B., Toborek, M., McClain, C.J., 2001. High-energy diets, fatty acids and endothelialcell function: Implications for atherosclerosis. J. Am. Coll. Nutr. 20, 97–105.</w:t>
      </w:r>
      <w:r w:rsidRPr="00961550">
        <w:rPr>
          <w:sz w:val="24"/>
          <w:szCs w:val="24"/>
        </w:rPr>
        <w:t xml:space="preserve"> </w:t>
      </w:r>
      <w:hyperlink r:id="rId8" w:history="1">
        <w:r w:rsidRPr="00961550">
          <w:rPr>
            <w:rStyle w:val="Hyperlink"/>
            <w:sz w:val="24"/>
            <w:szCs w:val="24"/>
          </w:rPr>
          <w:t>https://doi.org/10.1080/07315724.2001.10719021</w:t>
        </w:r>
      </w:hyperlink>
      <w:r w:rsidRPr="00961550">
        <w:rPr>
          <w:sz w:val="24"/>
          <w:szCs w:val="24"/>
        </w:rPr>
        <w:t xml:space="preserve"> </w:t>
      </w:r>
    </w:p>
    <w:p w14:paraId="48EDAE05" w14:textId="44D4386C" w:rsidR="00961550" w:rsidRPr="00961550" w:rsidRDefault="00961550" w:rsidP="00961550">
      <w:pPr>
        <w:spacing w:line="360" w:lineRule="auto"/>
        <w:ind w:left="720" w:hanging="720"/>
        <w:jc w:val="both"/>
        <w:rPr>
          <w:sz w:val="24"/>
          <w:szCs w:val="24"/>
        </w:rPr>
      </w:pPr>
      <w:r w:rsidRPr="00961550">
        <w:rPr>
          <w:sz w:val="24"/>
          <w:szCs w:val="24"/>
        </w:rPr>
        <w:t>Jeong, J.W., Jin, C.Y., Kim, G.Y., Lee, J.D., Park, C., Kim, G. Do, Kim, W.J., Jung, W.K., Seo, S.K.,Choi, I.W., Choi, Y.H., 2010. Anti-inflammatory effects of cordycepin via suppression of</w:t>
      </w:r>
      <w:r w:rsidRPr="00961550">
        <w:rPr>
          <w:sz w:val="24"/>
          <w:szCs w:val="24"/>
        </w:rPr>
        <w:t xml:space="preserve"> </w:t>
      </w:r>
      <w:r w:rsidRPr="00961550">
        <w:rPr>
          <w:sz w:val="24"/>
          <w:szCs w:val="24"/>
        </w:rPr>
        <w:t>inflammatory mediators in BV2 microglial cells. Int. Immunopharmacol. 10, 1580–1586.</w:t>
      </w:r>
      <w:r w:rsidRPr="00961550">
        <w:rPr>
          <w:sz w:val="24"/>
          <w:szCs w:val="24"/>
        </w:rPr>
        <w:t xml:space="preserve"> </w:t>
      </w:r>
      <w:hyperlink r:id="rId9" w:history="1">
        <w:r w:rsidRPr="00961550">
          <w:rPr>
            <w:rStyle w:val="Hyperlink"/>
            <w:sz w:val="24"/>
            <w:szCs w:val="24"/>
          </w:rPr>
          <w:t>https://doi.org/10.1016/j.intimp.2010.09.011</w:t>
        </w:r>
      </w:hyperlink>
      <w:r w:rsidRPr="00961550">
        <w:rPr>
          <w:sz w:val="24"/>
          <w:szCs w:val="24"/>
        </w:rPr>
        <w:t xml:space="preserve"> </w:t>
      </w:r>
    </w:p>
    <w:p w14:paraId="04923971" w14:textId="69527F39" w:rsidR="00961550" w:rsidRPr="00961550" w:rsidRDefault="00961550" w:rsidP="00961550">
      <w:pPr>
        <w:spacing w:line="360" w:lineRule="auto"/>
        <w:ind w:left="720" w:hanging="720"/>
        <w:jc w:val="both"/>
        <w:rPr>
          <w:sz w:val="24"/>
          <w:szCs w:val="24"/>
        </w:rPr>
      </w:pPr>
      <w:r w:rsidRPr="00961550">
        <w:rPr>
          <w:sz w:val="24"/>
          <w:szCs w:val="24"/>
        </w:rPr>
        <w:t>Kavimani, S., 2011. In vitro antioxidant and anticholinesterase activities of</w:t>
      </w:r>
      <w:r w:rsidRPr="00961550">
        <w:rPr>
          <w:sz w:val="24"/>
          <w:szCs w:val="24"/>
        </w:rPr>
        <w:t xml:space="preserve"> </w:t>
      </w:r>
      <w:r w:rsidRPr="00961550">
        <w:rPr>
          <w:sz w:val="24"/>
          <w:szCs w:val="24"/>
        </w:rPr>
        <w:t>garcinia combogia. Int. J. Pharm. Pharm. Sci. Vol 3, Iss.</w:t>
      </w:r>
      <w:r w:rsidRPr="00961550">
        <w:rPr>
          <w:sz w:val="24"/>
          <w:szCs w:val="24"/>
        </w:rPr>
        <w:t xml:space="preserve"> </w:t>
      </w:r>
      <w:r w:rsidRPr="00961550">
        <w:rPr>
          <w:sz w:val="24"/>
          <w:szCs w:val="24"/>
        </w:rPr>
        <w:t>Kokkiripati, P.K., Bhakshu, L.M., Marri, S., Padmasree, K., Row, A.T., Raghavendra, A.S.,</w:t>
      </w:r>
      <w:r w:rsidRPr="00961550">
        <w:rPr>
          <w:sz w:val="24"/>
          <w:szCs w:val="24"/>
        </w:rPr>
        <w:t xml:space="preserve"> </w:t>
      </w:r>
      <w:r w:rsidRPr="00961550">
        <w:rPr>
          <w:sz w:val="24"/>
          <w:szCs w:val="24"/>
        </w:rPr>
        <w:t>Tetali, S.D., 2011. Gum resin of Boswellia serrata inhibited human monocytic (THP-1)</w:t>
      </w:r>
      <w:r w:rsidRPr="00961550">
        <w:rPr>
          <w:sz w:val="24"/>
          <w:szCs w:val="24"/>
        </w:rPr>
        <w:t xml:space="preserve"> </w:t>
      </w:r>
      <w:r w:rsidRPr="00961550">
        <w:rPr>
          <w:sz w:val="24"/>
          <w:szCs w:val="24"/>
        </w:rPr>
        <w:t>cell activation and platelet aggregation. J. Ethnopharmacol. 137, 893–901.</w:t>
      </w:r>
      <w:r w:rsidRPr="00961550">
        <w:rPr>
          <w:sz w:val="24"/>
          <w:szCs w:val="24"/>
        </w:rPr>
        <w:t xml:space="preserve"> </w:t>
      </w:r>
      <w:hyperlink r:id="rId10" w:history="1">
        <w:r w:rsidRPr="00961550">
          <w:rPr>
            <w:rStyle w:val="Hyperlink"/>
            <w:sz w:val="24"/>
            <w:szCs w:val="24"/>
          </w:rPr>
          <w:t>https://doi.org/10.1016/j.jep.2011.07.004</w:t>
        </w:r>
      </w:hyperlink>
      <w:r w:rsidRPr="00961550">
        <w:rPr>
          <w:sz w:val="24"/>
          <w:szCs w:val="24"/>
        </w:rPr>
        <w:t xml:space="preserve"> </w:t>
      </w:r>
    </w:p>
    <w:p w14:paraId="4C110571" w14:textId="7DE0121C" w:rsidR="00961550" w:rsidRPr="00961550" w:rsidRDefault="00961550" w:rsidP="00961550">
      <w:pPr>
        <w:spacing w:line="360" w:lineRule="auto"/>
        <w:ind w:left="720" w:hanging="720"/>
        <w:jc w:val="both"/>
        <w:rPr>
          <w:sz w:val="24"/>
          <w:szCs w:val="24"/>
        </w:rPr>
      </w:pPr>
      <w:r w:rsidRPr="00961550">
        <w:rPr>
          <w:sz w:val="24"/>
          <w:szCs w:val="24"/>
        </w:rPr>
        <w:t>Kokkiripati, P.K., Kamsala, R.V., Bashyam, L., Manthapuram, N., Bitla, P., Peddada, V.,</w:t>
      </w:r>
      <w:r w:rsidRPr="00961550">
        <w:rPr>
          <w:sz w:val="24"/>
          <w:szCs w:val="24"/>
        </w:rPr>
        <w:t xml:space="preserve"> </w:t>
      </w:r>
      <w:r w:rsidRPr="00961550">
        <w:rPr>
          <w:sz w:val="24"/>
          <w:szCs w:val="24"/>
        </w:rPr>
        <w:t>Raghavendra, A.S., Tetali, S.D., 2013. Stem-bark of Terminalia arjuna attenuates human</w:t>
      </w:r>
      <w:r w:rsidRPr="00961550">
        <w:rPr>
          <w:sz w:val="24"/>
          <w:szCs w:val="24"/>
        </w:rPr>
        <w:t xml:space="preserve"> </w:t>
      </w:r>
      <w:r w:rsidRPr="00961550">
        <w:rPr>
          <w:sz w:val="24"/>
          <w:szCs w:val="24"/>
        </w:rPr>
        <w:t xml:space="preserve">monocytic (THP-1) and aortic endothelial cell activation. J. Ethnopharmacol. 146, 456–464. </w:t>
      </w:r>
      <w:hyperlink r:id="rId11" w:history="1">
        <w:r w:rsidRPr="00961550">
          <w:rPr>
            <w:rStyle w:val="Hyperlink"/>
            <w:sz w:val="24"/>
            <w:szCs w:val="24"/>
          </w:rPr>
          <w:t>https://doi.org/10.1016/j.jep.2012.12.050</w:t>
        </w:r>
      </w:hyperlink>
      <w:r w:rsidRPr="00961550">
        <w:rPr>
          <w:sz w:val="24"/>
          <w:szCs w:val="24"/>
        </w:rPr>
        <w:t xml:space="preserve"> </w:t>
      </w:r>
    </w:p>
    <w:p w14:paraId="644BC22E" w14:textId="6009CCF9" w:rsidR="00961550" w:rsidRPr="00961550" w:rsidRDefault="00961550" w:rsidP="00961550">
      <w:pPr>
        <w:spacing w:line="360" w:lineRule="auto"/>
        <w:ind w:left="720" w:hanging="720"/>
        <w:jc w:val="both"/>
        <w:rPr>
          <w:sz w:val="24"/>
          <w:szCs w:val="24"/>
        </w:rPr>
      </w:pPr>
      <w:r w:rsidRPr="00961550">
        <w:rPr>
          <w:sz w:val="24"/>
          <w:szCs w:val="24"/>
        </w:rPr>
        <w:lastRenderedPageBreak/>
        <w:t>Kweon, S.-M., Kim, H.-J., Lee, Z.-W., Kim, S.-J., Kim, S.-I., Paik, S.-G., Ha, K.-S., 2001.</w:t>
      </w:r>
      <w:r w:rsidRPr="00961550">
        <w:rPr>
          <w:sz w:val="24"/>
          <w:szCs w:val="24"/>
        </w:rPr>
        <w:t xml:space="preserve"> </w:t>
      </w:r>
      <w:r w:rsidRPr="00961550">
        <w:rPr>
          <w:sz w:val="24"/>
          <w:szCs w:val="24"/>
        </w:rPr>
        <w:t>Real</w:t>
      </w:r>
      <w:r w:rsidRPr="00961550">
        <w:rPr>
          <w:sz w:val="24"/>
          <w:szCs w:val="24"/>
        </w:rPr>
        <w:t xml:space="preserve"> </w:t>
      </w:r>
      <w:r w:rsidRPr="00961550">
        <w:rPr>
          <w:sz w:val="24"/>
          <w:szCs w:val="24"/>
        </w:rPr>
        <w:t>Time Measurement of Intracellular Reactive Oxygen Species Using Mito Tracker Orange</w:t>
      </w:r>
      <w:r w:rsidRPr="00961550">
        <w:rPr>
          <w:sz w:val="24"/>
          <w:szCs w:val="24"/>
        </w:rPr>
        <w:t xml:space="preserve"> </w:t>
      </w:r>
      <w:r w:rsidRPr="00961550">
        <w:rPr>
          <w:sz w:val="24"/>
          <w:szCs w:val="24"/>
        </w:rPr>
        <w:t xml:space="preserve">(CMH2TMRos). Biosci. Rep. 21, 341–352. </w:t>
      </w:r>
      <w:hyperlink r:id="rId12" w:history="1">
        <w:r w:rsidRPr="00961550">
          <w:rPr>
            <w:rStyle w:val="Hyperlink"/>
            <w:sz w:val="24"/>
            <w:szCs w:val="24"/>
          </w:rPr>
          <w:t>https://doi.org/10.1023/A:1013290316939</w:t>
        </w:r>
      </w:hyperlink>
      <w:r w:rsidRPr="00961550">
        <w:rPr>
          <w:sz w:val="24"/>
          <w:szCs w:val="24"/>
        </w:rPr>
        <w:t xml:space="preserve"> </w:t>
      </w:r>
    </w:p>
    <w:p w14:paraId="0BE47B97" w14:textId="6AB12892" w:rsidR="00961550" w:rsidRPr="00961550" w:rsidRDefault="00961550" w:rsidP="00961550">
      <w:pPr>
        <w:spacing w:line="360" w:lineRule="auto"/>
        <w:ind w:left="720" w:hanging="720"/>
        <w:jc w:val="both"/>
        <w:rPr>
          <w:sz w:val="24"/>
          <w:szCs w:val="24"/>
        </w:rPr>
      </w:pPr>
      <w:r w:rsidRPr="00961550">
        <w:rPr>
          <w:sz w:val="24"/>
          <w:szCs w:val="24"/>
        </w:rPr>
        <w:t>Libby, P., 2012. Inflammation in atherosclerosis. Arterioscler. Thromb. Vasc. Biol. 32,</w:t>
      </w:r>
      <w:r w:rsidRPr="00961550">
        <w:rPr>
          <w:sz w:val="24"/>
          <w:szCs w:val="24"/>
        </w:rPr>
        <w:t xml:space="preserve"> </w:t>
      </w:r>
      <w:r w:rsidRPr="00961550">
        <w:rPr>
          <w:sz w:val="24"/>
          <w:szCs w:val="24"/>
        </w:rPr>
        <w:t xml:space="preserve">2045–2051. </w:t>
      </w:r>
      <w:hyperlink r:id="rId13" w:history="1">
        <w:r w:rsidRPr="00961550">
          <w:rPr>
            <w:rStyle w:val="Hyperlink"/>
            <w:sz w:val="24"/>
            <w:szCs w:val="24"/>
          </w:rPr>
          <w:t>https://doi.org/10.1161/ATVBAHA.108.179705</w:t>
        </w:r>
      </w:hyperlink>
      <w:r w:rsidRPr="00961550">
        <w:rPr>
          <w:sz w:val="24"/>
          <w:szCs w:val="24"/>
        </w:rPr>
        <w:t xml:space="preserve"> </w:t>
      </w:r>
      <w:r w:rsidRPr="00961550">
        <w:rPr>
          <w:sz w:val="24"/>
          <w:szCs w:val="24"/>
        </w:rPr>
        <w:t>Masuda, Y., 2004. Cardiac effect OF cholinesterase inhibitors used in alzheimers disease -from basic research to bedside. Curr. Alzheimer Res.</w:t>
      </w:r>
      <w:r w:rsidRPr="00961550">
        <w:rPr>
          <w:sz w:val="24"/>
          <w:szCs w:val="24"/>
        </w:rPr>
        <w:t xml:space="preserve"> </w:t>
      </w:r>
      <w:hyperlink r:id="rId14" w:history="1">
        <w:r w:rsidRPr="00961550">
          <w:rPr>
            <w:rStyle w:val="Hyperlink"/>
            <w:sz w:val="24"/>
            <w:szCs w:val="24"/>
          </w:rPr>
          <w:t>https://doi.org/http://dx.doi.org/10.2174/1567205043332009</w:t>
        </w:r>
      </w:hyperlink>
      <w:r w:rsidRPr="00961550">
        <w:rPr>
          <w:sz w:val="24"/>
          <w:szCs w:val="24"/>
        </w:rPr>
        <w:t xml:space="preserve"> </w:t>
      </w:r>
    </w:p>
    <w:p w14:paraId="000220E6" w14:textId="70D65D42" w:rsidR="00961550" w:rsidRPr="00961550" w:rsidRDefault="00961550" w:rsidP="00961550">
      <w:pPr>
        <w:spacing w:line="360" w:lineRule="auto"/>
        <w:ind w:left="720" w:hanging="720"/>
        <w:jc w:val="both"/>
        <w:rPr>
          <w:sz w:val="24"/>
          <w:szCs w:val="24"/>
        </w:rPr>
      </w:pPr>
      <w:r w:rsidRPr="00961550">
        <w:rPr>
          <w:sz w:val="24"/>
          <w:szCs w:val="24"/>
        </w:rPr>
        <w:t>Mead, J.R., Ramji, D.P., 2002. The pivotal role of lipoprotein lipase in atherosclerosis.</w:t>
      </w:r>
      <w:r w:rsidRPr="00961550">
        <w:rPr>
          <w:sz w:val="24"/>
          <w:szCs w:val="24"/>
        </w:rPr>
        <w:t xml:space="preserve"> </w:t>
      </w:r>
      <w:r w:rsidRPr="00961550">
        <w:rPr>
          <w:sz w:val="24"/>
          <w:szCs w:val="24"/>
        </w:rPr>
        <w:t xml:space="preserve">Cardiovasc. Res. 55, 261–269. </w:t>
      </w:r>
      <w:hyperlink r:id="rId15" w:history="1">
        <w:r w:rsidRPr="00961550">
          <w:rPr>
            <w:rStyle w:val="Hyperlink"/>
            <w:sz w:val="24"/>
            <w:szCs w:val="24"/>
          </w:rPr>
          <w:t>https://doi.org/10.1016/S0008-6363(02)00405-4</w:t>
        </w:r>
      </w:hyperlink>
      <w:r w:rsidRPr="00961550">
        <w:rPr>
          <w:sz w:val="24"/>
          <w:szCs w:val="24"/>
        </w:rPr>
        <w:t xml:space="preserve"> </w:t>
      </w:r>
    </w:p>
    <w:p w14:paraId="6F8FFB8F" w14:textId="2B57484C" w:rsidR="00961550" w:rsidRPr="00961550" w:rsidRDefault="00961550" w:rsidP="00961550">
      <w:pPr>
        <w:spacing w:line="360" w:lineRule="auto"/>
        <w:ind w:left="720" w:hanging="720"/>
        <w:jc w:val="both"/>
        <w:rPr>
          <w:sz w:val="24"/>
          <w:szCs w:val="24"/>
        </w:rPr>
      </w:pPr>
      <w:r w:rsidRPr="00961550">
        <w:rPr>
          <w:sz w:val="24"/>
          <w:szCs w:val="24"/>
        </w:rPr>
        <w:t>Nahak, G., Sahu, R.K., 2011. Phytochemical evaluation and antioxidant activity of Piper</w:t>
      </w:r>
      <w:r w:rsidRPr="00961550">
        <w:rPr>
          <w:sz w:val="24"/>
          <w:szCs w:val="24"/>
        </w:rPr>
        <w:t xml:space="preserve"> </w:t>
      </w:r>
      <w:r w:rsidRPr="00961550">
        <w:rPr>
          <w:sz w:val="24"/>
          <w:szCs w:val="24"/>
        </w:rPr>
        <w:t>ubeba and Piper nigrum. J. Appl. Pharm. Sci. 1, 153–157.</w:t>
      </w:r>
    </w:p>
    <w:p w14:paraId="7CBE40A4" w14:textId="73E5E992" w:rsidR="00961550" w:rsidRPr="00961550" w:rsidRDefault="00961550" w:rsidP="00961550">
      <w:pPr>
        <w:spacing w:line="360" w:lineRule="auto"/>
        <w:ind w:left="720" w:hanging="720"/>
        <w:jc w:val="both"/>
        <w:rPr>
          <w:sz w:val="24"/>
          <w:szCs w:val="24"/>
        </w:rPr>
      </w:pPr>
      <w:r w:rsidRPr="00961550">
        <w:rPr>
          <w:sz w:val="24"/>
          <w:szCs w:val="24"/>
        </w:rPr>
        <w:t>Ohkawa, H., Ohishi, N., Yagi, K., 1979. Assay for lipid peroxides in animal tissues by</w:t>
      </w:r>
      <w:r w:rsidRPr="00961550">
        <w:rPr>
          <w:sz w:val="24"/>
          <w:szCs w:val="24"/>
        </w:rPr>
        <w:t xml:space="preserve"> </w:t>
      </w:r>
      <w:r w:rsidRPr="00961550">
        <w:rPr>
          <w:sz w:val="24"/>
          <w:szCs w:val="24"/>
        </w:rPr>
        <w:t>thiobarbituric acid reaction. Anal. Biochem. 95, 351–358.</w:t>
      </w:r>
      <w:r w:rsidRPr="00961550">
        <w:rPr>
          <w:sz w:val="24"/>
          <w:szCs w:val="24"/>
        </w:rPr>
        <w:t xml:space="preserve"> </w:t>
      </w:r>
      <w:hyperlink r:id="rId16" w:history="1">
        <w:r w:rsidRPr="00961550">
          <w:rPr>
            <w:rStyle w:val="Hyperlink"/>
            <w:sz w:val="24"/>
            <w:szCs w:val="24"/>
          </w:rPr>
          <w:t>https://doi.org/10.1016/0003-2697(79)90738-3</w:t>
        </w:r>
      </w:hyperlink>
      <w:r w:rsidRPr="00961550">
        <w:rPr>
          <w:sz w:val="24"/>
          <w:szCs w:val="24"/>
        </w:rPr>
        <w:t xml:space="preserve"> </w:t>
      </w:r>
    </w:p>
    <w:p w14:paraId="689C5E6F" w14:textId="5A3FC4C8" w:rsidR="00961550" w:rsidRPr="00961550" w:rsidRDefault="00961550" w:rsidP="00961550">
      <w:pPr>
        <w:spacing w:line="360" w:lineRule="auto"/>
        <w:ind w:left="720" w:hanging="720"/>
        <w:jc w:val="both"/>
        <w:rPr>
          <w:sz w:val="24"/>
          <w:szCs w:val="24"/>
        </w:rPr>
      </w:pPr>
      <w:r w:rsidRPr="00961550">
        <w:rPr>
          <w:sz w:val="24"/>
          <w:szCs w:val="24"/>
        </w:rPr>
        <w:t>Reddi, K., Tetali, S., 2019. Dry leaf extracts of Tinospora cordifolia (Willd.) Miers</w:t>
      </w:r>
      <w:r w:rsidRPr="00961550">
        <w:rPr>
          <w:sz w:val="24"/>
          <w:szCs w:val="24"/>
        </w:rPr>
        <w:t xml:space="preserve"> </w:t>
      </w:r>
      <w:r w:rsidRPr="00961550">
        <w:rPr>
          <w:sz w:val="24"/>
          <w:szCs w:val="24"/>
        </w:rPr>
        <w:t>attenuate</w:t>
      </w:r>
      <w:r w:rsidRPr="00961550">
        <w:rPr>
          <w:sz w:val="24"/>
          <w:szCs w:val="24"/>
        </w:rPr>
        <w:t xml:space="preserve"> </w:t>
      </w:r>
      <w:r w:rsidRPr="00961550">
        <w:rPr>
          <w:sz w:val="24"/>
          <w:szCs w:val="24"/>
        </w:rPr>
        <w:t>oxidative stress and inflammatory condition in human monocytic (THP-1) cells.</w:t>
      </w:r>
      <w:r w:rsidRPr="00961550">
        <w:rPr>
          <w:sz w:val="24"/>
          <w:szCs w:val="24"/>
        </w:rPr>
        <w:t xml:space="preserve"> </w:t>
      </w:r>
      <w:r w:rsidRPr="00961550">
        <w:rPr>
          <w:sz w:val="24"/>
          <w:szCs w:val="24"/>
        </w:rPr>
        <w:t xml:space="preserve">Phytomedicine 61, 152831. </w:t>
      </w:r>
      <w:hyperlink r:id="rId17" w:history="1">
        <w:r w:rsidRPr="00961550">
          <w:rPr>
            <w:rStyle w:val="Hyperlink"/>
            <w:sz w:val="24"/>
            <w:szCs w:val="24"/>
          </w:rPr>
          <w:t>https://doi.org/10.1016/j.phymed.2019.152831</w:t>
        </w:r>
      </w:hyperlink>
      <w:r w:rsidRPr="00961550">
        <w:rPr>
          <w:sz w:val="24"/>
          <w:szCs w:val="24"/>
        </w:rPr>
        <w:t xml:space="preserve"> </w:t>
      </w:r>
    </w:p>
    <w:p w14:paraId="0F79079A" w14:textId="7B583226" w:rsidR="00961550" w:rsidRPr="00961550" w:rsidRDefault="00961550" w:rsidP="00961550">
      <w:pPr>
        <w:spacing w:line="360" w:lineRule="auto"/>
        <w:ind w:left="720" w:hanging="720"/>
        <w:jc w:val="both"/>
        <w:rPr>
          <w:sz w:val="24"/>
          <w:szCs w:val="24"/>
        </w:rPr>
      </w:pPr>
      <w:r w:rsidRPr="00961550">
        <w:rPr>
          <w:sz w:val="24"/>
          <w:szCs w:val="24"/>
        </w:rPr>
        <w:t>Ross, R., 1999. Atherosclerosis — An Inflammatory Disease. N. Engl. J. Med. 340, 115</w:t>
      </w:r>
      <w:r w:rsidRPr="00961550">
        <w:rPr>
          <w:sz w:val="24"/>
          <w:szCs w:val="24"/>
        </w:rPr>
        <w:t>-</w:t>
      </w:r>
      <w:r w:rsidRPr="00961550">
        <w:rPr>
          <w:sz w:val="24"/>
          <w:szCs w:val="24"/>
        </w:rPr>
        <w:t>126.</w:t>
      </w:r>
      <w:r w:rsidRPr="00961550">
        <w:rPr>
          <w:sz w:val="24"/>
          <w:szCs w:val="24"/>
        </w:rPr>
        <w:t xml:space="preserve"> </w:t>
      </w:r>
      <w:hyperlink r:id="rId18" w:history="1">
        <w:r w:rsidRPr="00961550">
          <w:rPr>
            <w:rStyle w:val="Hyperlink"/>
            <w:sz w:val="24"/>
            <w:szCs w:val="24"/>
          </w:rPr>
          <w:t>https://doi.org/10.1056/NEJM199901143400207</w:t>
        </w:r>
      </w:hyperlink>
      <w:r w:rsidRPr="00961550">
        <w:rPr>
          <w:sz w:val="24"/>
          <w:szCs w:val="24"/>
        </w:rPr>
        <w:t xml:space="preserve"> </w:t>
      </w:r>
    </w:p>
    <w:p w14:paraId="4D4668B1" w14:textId="4572D521" w:rsidR="00EC2DFF" w:rsidRPr="00961550" w:rsidRDefault="00961550" w:rsidP="00961550">
      <w:pPr>
        <w:spacing w:line="360" w:lineRule="auto"/>
        <w:ind w:left="720" w:hanging="720"/>
        <w:jc w:val="both"/>
        <w:rPr>
          <w:sz w:val="24"/>
          <w:szCs w:val="24"/>
        </w:rPr>
      </w:pPr>
      <w:r w:rsidRPr="00961550">
        <w:rPr>
          <w:sz w:val="24"/>
          <w:szCs w:val="24"/>
        </w:rPr>
        <w:t>Singleton, V.L., Orthofer, R., Lamuela-Raventós, R.M.B.T.-M. in E., 1999. [14] Analysis</w:t>
      </w:r>
      <w:r w:rsidRPr="00961550">
        <w:rPr>
          <w:sz w:val="24"/>
          <w:szCs w:val="24"/>
        </w:rPr>
        <w:t xml:space="preserve"> </w:t>
      </w:r>
      <w:r w:rsidRPr="00961550">
        <w:rPr>
          <w:sz w:val="24"/>
          <w:szCs w:val="24"/>
        </w:rPr>
        <w:t>of total</w:t>
      </w:r>
      <w:r w:rsidRPr="00961550">
        <w:rPr>
          <w:sz w:val="24"/>
          <w:szCs w:val="24"/>
        </w:rPr>
        <w:t xml:space="preserve"> </w:t>
      </w:r>
      <w:r w:rsidRPr="00961550">
        <w:rPr>
          <w:sz w:val="24"/>
          <w:szCs w:val="24"/>
        </w:rPr>
        <w:t>phenols and other oxidation substrates and antioxidants by means of folin-ciocalteu</w:t>
      </w:r>
      <w:r w:rsidRPr="00961550">
        <w:rPr>
          <w:sz w:val="24"/>
          <w:szCs w:val="24"/>
        </w:rPr>
        <w:t xml:space="preserve"> </w:t>
      </w:r>
      <w:r w:rsidRPr="00961550">
        <w:rPr>
          <w:sz w:val="24"/>
          <w:szCs w:val="24"/>
        </w:rPr>
        <w:t>reagent, in: Oxidants and Antioxidants Part A. Academic Press, pp. 15</w:t>
      </w:r>
      <w:r w:rsidRPr="00961550">
        <w:rPr>
          <w:sz w:val="24"/>
          <w:szCs w:val="24"/>
        </w:rPr>
        <w:t xml:space="preserve"> </w:t>
      </w:r>
      <w:r>
        <w:t xml:space="preserve">pp. 152–178. </w:t>
      </w:r>
      <w:hyperlink r:id="rId19" w:history="1">
        <w:r w:rsidRPr="001822D3">
          <w:rPr>
            <w:rStyle w:val="Hyperlink"/>
          </w:rPr>
          <w:t>https://doi.org/https://doi.org/10.1016/S0076-6879(99)99017-1</w:t>
        </w:r>
      </w:hyperlink>
      <w:r>
        <w:t xml:space="preserve"> </w:t>
      </w:r>
    </w:p>
    <w:p w14:paraId="6466E075" w14:textId="77777777" w:rsidR="008E6B2C" w:rsidRPr="00EC2DFF" w:rsidRDefault="008E6B2C" w:rsidP="00EC2DFF">
      <w:pPr>
        <w:spacing w:line="360" w:lineRule="auto"/>
        <w:jc w:val="both"/>
        <w:rPr>
          <w:sz w:val="24"/>
          <w:szCs w:val="24"/>
        </w:rPr>
      </w:pPr>
    </w:p>
    <w:p w14:paraId="60DDEFBE" w14:textId="77777777" w:rsidR="008E6B2C" w:rsidRPr="00EC2DFF" w:rsidRDefault="008E6B2C" w:rsidP="00EC2DFF">
      <w:pPr>
        <w:spacing w:line="360" w:lineRule="auto"/>
        <w:jc w:val="both"/>
        <w:rPr>
          <w:sz w:val="24"/>
          <w:szCs w:val="24"/>
          <w:lang w:val="en-IN"/>
        </w:rPr>
      </w:pPr>
    </w:p>
    <w:p w14:paraId="3681010A" w14:textId="3635E2FC" w:rsidR="00EC05D1" w:rsidRPr="00EC2DFF" w:rsidRDefault="00EC05D1" w:rsidP="00EC2DFF">
      <w:pPr>
        <w:spacing w:line="360" w:lineRule="auto"/>
        <w:rPr>
          <w:sz w:val="24"/>
          <w:szCs w:val="24"/>
        </w:rPr>
      </w:pPr>
    </w:p>
    <w:sectPr w:rsidR="00EC05D1" w:rsidRPr="00EC2D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14D49"/>
    <w:multiLevelType w:val="hybridMultilevel"/>
    <w:tmpl w:val="60FE71C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BFF30BB"/>
    <w:multiLevelType w:val="hybridMultilevel"/>
    <w:tmpl w:val="469884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1D5104D"/>
    <w:multiLevelType w:val="hybridMultilevel"/>
    <w:tmpl w:val="9E72E242"/>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22A1340"/>
    <w:multiLevelType w:val="hybridMultilevel"/>
    <w:tmpl w:val="7B92363A"/>
    <w:lvl w:ilvl="0" w:tplc="4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8500694">
    <w:abstractNumId w:val="1"/>
  </w:num>
  <w:num w:numId="2" w16cid:durableId="1005480731">
    <w:abstractNumId w:val="3"/>
  </w:num>
  <w:num w:numId="3" w16cid:durableId="2145350488">
    <w:abstractNumId w:val="0"/>
  </w:num>
  <w:num w:numId="4" w16cid:durableId="129977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77"/>
    <w:rsid w:val="001D4F18"/>
    <w:rsid w:val="0027423A"/>
    <w:rsid w:val="002C5E77"/>
    <w:rsid w:val="004F6FE3"/>
    <w:rsid w:val="00535EBE"/>
    <w:rsid w:val="005C4A2F"/>
    <w:rsid w:val="0062711D"/>
    <w:rsid w:val="0079118C"/>
    <w:rsid w:val="008E6B2C"/>
    <w:rsid w:val="00961550"/>
    <w:rsid w:val="00EC05D1"/>
    <w:rsid w:val="00EC2DFF"/>
    <w:rsid w:val="00F674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BC26D"/>
  <w15:chartTrackingRefBased/>
  <w15:docId w15:val="{EB8E1467-596A-4C11-A04F-42545B0A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11D"/>
    <w:pPr>
      <w:spacing w:after="200" w:line="276" w:lineRule="auto"/>
    </w:pPr>
    <w:rPr>
      <w:kern w:val="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4F1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961550"/>
    <w:pPr>
      <w:ind w:left="720"/>
      <w:contextualSpacing/>
    </w:pPr>
  </w:style>
  <w:style w:type="character" w:styleId="Hyperlink">
    <w:name w:val="Hyperlink"/>
    <w:basedOn w:val="DefaultParagraphFont"/>
    <w:uiPriority w:val="99"/>
    <w:unhideWhenUsed/>
    <w:rsid w:val="00961550"/>
    <w:rPr>
      <w:color w:val="0563C1" w:themeColor="hyperlink"/>
      <w:u w:val="single"/>
    </w:rPr>
  </w:style>
  <w:style w:type="character" w:styleId="UnresolvedMention">
    <w:name w:val="Unresolved Mention"/>
    <w:basedOn w:val="DefaultParagraphFont"/>
    <w:uiPriority w:val="99"/>
    <w:semiHidden/>
    <w:unhideWhenUsed/>
    <w:rsid w:val="00961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8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7315724.2001.10719021" TargetMode="External"/><Relationship Id="rId13" Type="http://schemas.openxmlformats.org/officeDocument/2006/relationships/hyperlink" Target="https://doi.org/10.1161/ATVBAHA.108.179705" TargetMode="External"/><Relationship Id="rId18" Type="http://schemas.openxmlformats.org/officeDocument/2006/relationships/hyperlink" Target="https://doi.org/10.1056/NEJM19990114340020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161/ATVBAHA.108.179564" TargetMode="External"/><Relationship Id="rId12" Type="http://schemas.openxmlformats.org/officeDocument/2006/relationships/hyperlink" Target="https://doi.org/10.1023/A:1013290316939" TargetMode="External"/><Relationship Id="rId17" Type="http://schemas.openxmlformats.org/officeDocument/2006/relationships/hyperlink" Target="https://doi.org/10.1016/j.phymed.2019.152831" TargetMode="External"/><Relationship Id="rId2" Type="http://schemas.openxmlformats.org/officeDocument/2006/relationships/styles" Target="styles.xml"/><Relationship Id="rId16" Type="http://schemas.openxmlformats.org/officeDocument/2006/relationships/hyperlink" Target="https://doi.org/10.1016/0003-2697(79)90738-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07/s12013-011-9306-1" TargetMode="External"/><Relationship Id="rId11" Type="http://schemas.openxmlformats.org/officeDocument/2006/relationships/hyperlink" Target="https://doi.org/10.1016/j.jep.2012.12.050" TargetMode="External"/><Relationship Id="rId5" Type="http://schemas.openxmlformats.org/officeDocument/2006/relationships/hyperlink" Target="https://doi.org/10.1016/j.jep.2014.03.049" TargetMode="External"/><Relationship Id="rId15" Type="http://schemas.openxmlformats.org/officeDocument/2006/relationships/hyperlink" Target="https://doi.org/10.1016/S0008-6363(02)00405-4" TargetMode="External"/><Relationship Id="rId10" Type="http://schemas.openxmlformats.org/officeDocument/2006/relationships/hyperlink" Target="https://doi.org/10.1016/j.jep.2011.07.004" TargetMode="External"/><Relationship Id="rId19" Type="http://schemas.openxmlformats.org/officeDocument/2006/relationships/hyperlink" Target="https://doi.org/https://doi.org/10.1016/S0076-6879(99)99017-1" TargetMode="External"/><Relationship Id="rId4" Type="http://schemas.openxmlformats.org/officeDocument/2006/relationships/webSettings" Target="webSettings.xml"/><Relationship Id="rId9" Type="http://schemas.openxmlformats.org/officeDocument/2006/relationships/hyperlink" Target="https://doi.org/10.1016/j.intimp.2010.09.011" TargetMode="External"/><Relationship Id="rId14" Type="http://schemas.openxmlformats.org/officeDocument/2006/relationships/hyperlink" Target="https://doi.org/http://dx.doi.org/10.2174/156720504333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Satyabrata Acharya</dc:creator>
  <cp:keywords/>
  <dc:description/>
  <cp:lastModifiedBy>Satyabrata Acharya</cp:lastModifiedBy>
  <cp:revision>6</cp:revision>
  <dcterms:created xsi:type="dcterms:W3CDTF">2023-06-13T12:05:00Z</dcterms:created>
  <dcterms:modified xsi:type="dcterms:W3CDTF">2023-06-13T18:47:00Z</dcterms:modified>
</cp:coreProperties>
</file>