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9FA" w:rsidRPr="001B79FA" w:rsidRDefault="001B79FA" w:rsidP="001B79FA">
      <w:pPr>
        <w:rPr>
          <w:rFonts w:asciiTheme="majorBidi" w:hAnsiTheme="majorBidi" w:cstheme="majorBidi"/>
          <w:b/>
          <w:bCs/>
          <w:sz w:val="24"/>
          <w:szCs w:val="24"/>
        </w:rPr>
      </w:pPr>
      <w:r w:rsidRPr="001B79FA">
        <w:rPr>
          <w:rFonts w:asciiTheme="majorBidi" w:hAnsiTheme="majorBidi" w:cstheme="majorBidi"/>
          <w:b/>
          <w:bCs/>
          <w:sz w:val="24"/>
          <w:szCs w:val="24"/>
        </w:rPr>
        <w:t>QUANTITATIVE ETHNO-VETERINARY USAGE OF PLANTS IN THE OUTSKIRTS OF DISTRICT MALAKAND, KHYBER PAKHTUNKHWA, PAKISTAN</w:t>
      </w:r>
    </w:p>
    <w:p w:rsidR="001B79FA" w:rsidRDefault="001B79FA" w:rsidP="001B79FA">
      <w:pPr>
        <w:spacing w:after="0"/>
        <w:ind w:left="720" w:firstLine="720"/>
        <w:rPr>
          <w:rFonts w:asciiTheme="majorBidi" w:hAnsiTheme="majorBidi" w:cstheme="majorBidi"/>
          <w:sz w:val="24"/>
          <w:szCs w:val="24"/>
        </w:rPr>
      </w:pPr>
      <w:r w:rsidRPr="001B79FA">
        <w:rPr>
          <w:rFonts w:asciiTheme="majorBidi" w:hAnsiTheme="majorBidi" w:cstheme="majorBidi"/>
          <w:sz w:val="24"/>
          <w:szCs w:val="24"/>
        </w:rPr>
        <w:t xml:space="preserve">Asghar Khan* </w:t>
      </w:r>
      <w:proofErr w:type="spellStart"/>
      <w:r w:rsidRPr="001B79FA">
        <w:rPr>
          <w:rFonts w:asciiTheme="majorBidi" w:hAnsiTheme="majorBidi" w:cstheme="majorBidi"/>
          <w:sz w:val="24"/>
          <w:szCs w:val="24"/>
        </w:rPr>
        <w:t>Nasrallah</w:t>
      </w:r>
      <w:proofErr w:type="spellEnd"/>
      <w:r w:rsidRPr="001B79FA">
        <w:rPr>
          <w:rFonts w:asciiTheme="majorBidi" w:hAnsiTheme="majorBidi" w:cstheme="majorBidi"/>
          <w:sz w:val="24"/>
          <w:szCs w:val="24"/>
        </w:rPr>
        <w:t xml:space="preserve"> Khan, &amp; </w:t>
      </w:r>
      <w:proofErr w:type="spellStart"/>
      <w:r w:rsidRPr="001B79FA">
        <w:rPr>
          <w:rFonts w:asciiTheme="majorBidi" w:hAnsiTheme="majorBidi" w:cstheme="majorBidi"/>
          <w:sz w:val="24"/>
          <w:szCs w:val="24"/>
        </w:rPr>
        <w:t>Kishwar</w:t>
      </w:r>
      <w:proofErr w:type="spellEnd"/>
      <w:r w:rsidRPr="001B79FA">
        <w:rPr>
          <w:rFonts w:asciiTheme="majorBidi" w:hAnsiTheme="majorBidi" w:cstheme="majorBidi"/>
          <w:sz w:val="24"/>
          <w:szCs w:val="24"/>
        </w:rPr>
        <w:t xml:space="preserve"> Ali</w:t>
      </w:r>
    </w:p>
    <w:p w:rsidR="001B79FA" w:rsidRDefault="001B79FA" w:rsidP="001B79FA">
      <w:pPr>
        <w:spacing w:after="0"/>
        <w:rPr>
          <w:rFonts w:asciiTheme="majorBidi" w:hAnsiTheme="majorBidi" w:cstheme="majorBidi"/>
          <w:sz w:val="24"/>
          <w:szCs w:val="24"/>
        </w:rPr>
      </w:pPr>
      <w:r w:rsidRPr="001B79FA">
        <w:rPr>
          <w:rFonts w:asciiTheme="majorBidi" w:hAnsiTheme="majorBidi" w:cstheme="majorBidi"/>
          <w:sz w:val="24"/>
          <w:szCs w:val="24"/>
        </w:rPr>
        <w:t xml:space="preserve">Laboratory of plant ecology, University of Malakand at </w:t>
      </w:r>
      <w:proofErr w:type="spellStart"/>
      <w:r w:rsidRPr="001B79FA">
        <w:rPr>
          <w:rFonts w:asciiTheme="majorBidi" w:hAnsiTheme="majorBidi" w:cstheme="majorBidi"/>
          <w:sz w:val="24"/>
          <w:szCs w:val="24"/>
        </w:rPr>
        <w:t>Chakdara</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Dir</w:t>
      </w:r>
      <w:proofErr w:type="spellEnd"/>
      <w:r w:rsidRPr="001B79FA">
        <w:rPr>
          <w:rFonts w:asciiTheme="majorBidi" w:hAnsiTheme="majorBidi" w:cstheme="majorBidi"/>
          <w:sz w:val="24"/>
          <w:szCs w:val="24"/>
        </w:rPr>
        <w:t xml:space="preserve"> lower, Pakistan</w:t>
      </w:r>
    </w:p>
    <w:p w:rsidR="001B79FA" w:rsidRPr="001B79FA" w:rsidRDefault="001B79FA" w:rsidP="001B79FA">
      <w:pPr>
        <w:spacing w:after="0"/>
        <w:rPr>
          <w:rFonts w:asciiTheme="majorBidi" w:hAnsiTheme="majorBidi" w:cstheme="majorBidi"/>
          <w:sz w:val="24"/>
          <w:szCs w:val="24"/>
        </w:rPr>
      </w:pPr>
      <w:r w:rsidRPr="001B79FA">
        <w:rPr>
          <w:rFonts w:asciiTheme="majorBidi" w:hAnsiTheme="majorBidi" w:cstheme="majorBidi"/>
          <w:sz w:val="24"/>
          <w:szCs w:val="24"/>
        </w:rPr>
        <w:t>*Correspondence: E-mail: Malakand35@gmail.com</w:t>
      </w:r>
    </w:p>
    <w:p w:rsidR="001B79FA" w:rsidRDefault="001B79FA" w:rsidP="001B79FA">
      <w:r>
        <w:t>______________________________________________________________________________</w:t>
      </w:r>
    </w:p>
    <w:p w:rsidR="001B79FA" w:rsidRPr="001B79FA" w:rsidRDefault="001B79FA" w:rsidP="001B79FA">
      <w:pPr>
        <w:jc w:val="both"/>
        <w:rPr>
          <w:rFonts w:asciiTheme="majorBidi" w:hAnsiTheme="majorBidi" w:cstheme="majorBidi"/>
          <w:sz w:val="24"/>
          <w:szCs w:val="24"/>
        </w:rPr>
      </w:pPr>
      <w:r w:rsidRPr="001B79FA">
        <w:rPr>
          <w:rFonts w:asciiTheme="majorBidi" w:hAnsiTheme="majorBidi" w:cstheme="majorBidi"/>
          <w:sz w:val="24"/>
          <w:szCs w:val="24"/>
        </w:rPr>
        <w:t>ABSTRACT: In order to analyze the local importance of medicinal plants and their availability status, a quantitative ethno-veterinary study has been carried out in the outskirts of dis</w:t>
      </w:r>
      <w:r>
        <w:rPr>
          <w:rFonts w:asciiTheme="majorBidi" w:hAnsiTheme="majorBidi" w:cstheme="majorBidi"/>
          <w:sz w:val="24"/>
          <w:szCs w:val="24"/>
        </w:rPr>
        <w:t xml:space="preserve">trict </w:t>
      </w:r>
      <w:r w:rsidRPr="001B79FA">
        <w:rPr>
          <w:rFonts w:asciiTheme="majorBidi" w:hAnsiTheme="majorBidi" w:cstheme="majorBidi"/>
          <w:sz w:val="24"/>
          <w:szCs w:val="24"/>
        </w:rPr>
        <w:t>Malakand from March 2014 to February 2016. The plant resources for ethno-veterinary uses were evaluated via a semi structured and open ended questionnaires. It was reported that the community used 48 plant species to cure 26 different types of livestock diseases. The more commonly utilized plant parts were leaves 41%, seed 23%</w:t>
      </w:r>
      <w:r>
        <w:rPr>
          <w:rFonts w:asciiTheme="majorBidi" w:hAnsiTheme="majorBidi" w:cstheme="majorBidi"/>
          <w:sz w:val="24"/>
          <w:szCs w:val="24"/>
        </w:rPr>
        <w:t xml:space="preserve">, fruit 8%, bark and flower 6%, </w:t>
      </w:r>
      <w:r w:rsidRPr="001B79FA">
        <w:rPr>
          <w:rFonts w:asciiTheme="majorBidi" w:hAnsiTheme="majorBidi" w:cstheme="majorBidi"/>
          <w:sz w:val="24"/>
          <w:szCs w:val="24"/>
        </w:rPr>
        <w:t xml:space="preserve">respectively. In 93%, cases all these preparations were orally administered in the form of decoction, infusion, flour paste (locally called </w:t>
      </w:r>
      <w:proofErr w:type="spellStart"/>
      <w:r w:rsidRPr="001B79FA">
        <w:rPr>
          <w:rFonts w:asciiTheme="majorBidi" w:hAnsiTheme="majorBidi" w:cstheme="majorBidi"/>
          <w:sz w:val="24"/>
          <w:szCs w:val="24"/>
        </w:rPr>
        <w:t>Paira</w:t>
      </w:r>
      <w:proofErr w:type="spellEnd"/>
      <w:r w:rsidRPr="001B79FA">
        <w:rPr>
          <w:rFonts w:asciiTheme="majorBidi" w:hAnsiTheme="majorBidi" w:cstheme="majorBidi"/>
          <w:sz w:val="24"/>
          <w:szCs w:val="24"/>
        </w:rPr>
        <w:t xml:space="preserve">) or in </w:t>
      </w:r>
      <w:proofErr w:type="spellStart"/>
      <w:r w:rsidRPr="001B79FA">
        <w:rPr>
          <w:rFonts w:asciiTheme="majorBidi" w:hAnsiTheme="majorBidi" w:cstheme="majorBidi"/>
          <w:sz w:val="24"/>
          <w:szCs w:val="24"/>
        </w:rPr>
        <w:t>gur</w:t>
      </w:r>
      <w:proofErr w:type="spellEnd"/>
      <w:r w:rsidRPr="001B79FA">
        <w:rPr>
          <w:rFonts w:asciiTheme="majorBidi" w:hAnsiTheme="majorBidi" w:cstheme="majorBidi"/>
          <w:sz w:val="24"/>
          <w:szCs w:val="24"/>
        </w:rPr>
        <w:t xml:space="preserve"> syrup and bread. Results obtained in the form of various quantitative indices, the Frequency of citation (FC) and Relative frequency of citations were both high for </w:t>
      </w:r>
      <w:proofErr w:type="spellStart"/>
      <w:r w:rsidRPr="001B79FA">
        <w:rPr>
          <w:rFonts w:asciiTheme="majorBidi" w:hAnsiTheme="majorBidi" w:cstheme="majorBidi"/>
          <w:sz w:val="24"/>
          <w:szCs w:val="24"/>
        </w:rPr>
        <w:t>Ammi</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visnaga</w:t>
      </w:r>
      <w:proofErr w:type="spellEnd"/>
      <w:r w:rsidRPr="001B79FA">
        <w:rPr>
          <w:rFonts w:asciiTheme="majorBidi" w:hAnsiTheme="majorBidi" w:cstheme="majorBidi"/>
          <w:sz w:val="24"/>
          <w:szCs w:val="24"/>
        </w:rPr>
        <w:t xml:space="preserve"> (FC = 10.34; RFC = 0.10), followed by </w:t>
      </w:r>
      <w:proofErr w:type="spellStart"/>
      <w:r w:rsidRPr="001B79FA">
        <w:rPr>
          <w:rFonts w:asciiTheme="majorBidi" w:hAnsiTheme="majorBidi" w:cstheme="majorBidi"/>
          <w:sz w:val="24"/>
          <w:szCs w:val="24"/>
        </w:rPr>
        <w:t>Citrullus</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colocynthis</w:t>
      </w:r>
      <w:proofErr w:type="spellEnd"/>
      <w:r w:rsidRPr="001B79FA">
        <w:rPr>
          <w:rFonts w:asciiTheme="majorBidi" w:hAnsiTheme="majorBidi" w:cstheme="majorBidi"/>
          <w:sz w:val="24"/>
          <w:szCs w:val="24"/>
        </w:rPr>
        <w:t xml:space="preserve"> (FC = 6.89; RFC = 0.068) and </w:t>
      </w:r>
      <w:proofErr w:type="spellStart"/>
      <w:r w:rsidRPr="001B79FA">
        <w:rPr>
          <w:rFonts w:asciiTheme="majorBidi" w:hAnsiTheme="majorBidi" w:cstheme="majorBidi"/>
          <w:sz w:val="24"/>
          <w:szCs w:val="24"/>
        </w:rPr>
        <w:t>Sarcococca</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saligna</w:t>
      </w:r>
      <w:proofErr w:type="spellEnd"/>
      <w:r w:rsidRPr="001B79FA">
        <w:rPr>
          <w:rFonts w:asciiTheme="majorBidi" w:hAnsiTheme="majorBidi" w:cstheme="majorBidi"/>
          <w:sz w:val="24"/>
          <w:szCs w:val="24"/>
        </w:rPr>
        <w:t xml:space="preserve">, (FC = 6.20; RFC= 0.062). The highest use value (UV) 0.062 was recorded for </w:t>
      </w:r>
      <w:proofErr w:type="spellStart"/>
      <w:r w:rsidRPr="001B79FA">
        <w:rPr>
          <w:rFonts w:asciiTheme="majorBidi" w:hAnsiTheme="majorBidi" w:cstheme="majorBidi"/>
          <w:sz w:val="24"/>
          <w:szCs w:val="24"/>
        </w:rPr>
        <w:t>Sarcococca</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saligna</w:t>
      </w:r>
      <w:proofErr w:type="spellEnd"/>
      <w:r w:rsidRPr="001B79FA">
        <w:rPr>
          <w:rFonts w:asciiTheme="majorBidi" w:hAnsiTheme="majorBidi" w:cstheme="majorBidi"/>
          <w:sz w:val="24"/>
          <w:szCs w:val="24"/>
        </w:rPr>
        <w:t xml:space="preserve"> and the lowest for </w:t>
      </w:r>
      <w:proofErr w:type="spellStart"/>
      <w:r w:rsidRPr="001B79FA">
        <w:rPr>
          <w:rFonts w:asciiTheme="majorBidi" w:hAnsiTheme="majorBidi" w:cstheme="majorBidi"/>
          <w:sz w:val="24"/>
          <w:szCs w:val="24"/>
        </w:rPr>
        <w:t>Solanum</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surratense</w:t>
      </w:r>
      <w:proofErr w:type="spellEnd"/>
      <w:r w:rsidRPr="001B79FA">
        <w:rPr>
          <w:rFonts w:asciiTheme="majorBidi" w:hAnsiTheme="majorBidi" w:cstheme="majorBidi"/>
          <w:sz w:val="24"/>
          <w:szCs w:val="24"/>
        </w:rPr>
        <w:t xml:space="preserve"> (0.027) respectively. The Pearson correlation coefficient for RFC and UV was 0.8516. Based on the informant consensus factor (ICF) the h</w:t>
      </w:r>
      <w:r>
        <w:rPr>
          <w:rFonts w:asciiTheme="majorBidi" w:hAnsiTheme="majorBidi" w:cstheme="majorBidi"/>
          <w:sz w:val="24"/>
          <w:szCs w:val="24"/>
        </w:rPr>
        <w:t xml:space="preserve">ighest values were obtained for </w:t>
      </w:r>
      <w:r w:rsidRPr="001B79FA">
        <w:rPr>
          <w:rFonts w:asciiTheme="majorBidi" w:hAnsiTheme="majorBidi" w:cstheme="majorBidi"/>
          <w:sz w:val="24"/>
          <w:szCs w:val="24"/>
        </w:rPr>
        <w:t xml:space="preserve">gastrointestinal disorders (ICF=0.678), mastitis (ICF=0.6) and black quarter (ICF=0.6). </w:t>
      </w:r>
      <w:proofErr w:type="spellStart"/>
      <w:r w:rsidRPr="001B79FA">
        <w:rPr>
          <w:rFonts w:asciiTheme="majorBidi" w:hAnsiTheme="majorBidi" w:cstheme="majorBidi"/>
          <w:sz w:val="24"/>
          <w:szCs w:val="24"/>
        </w:rPr>
        <w:t>Melia</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azedarach</w:t>
      </w:r>
      <w:proofErr w:type="spellEnd"/>
      <w:r w:rsidRPr="001B79FA">
        <w:rPr>
          <w:rFonts w:asciiTheme="majorBidi" w:hAnsiTheme="majorBidi" w:cstheme="majorBidi"/>
          <w:sz w:val="24"/>
          <w:szCs w:val="24"/>
        </w:rPr>
        <w:t xml:space="preserve"> was ranked first by the Direct matrix ranking (DMR) followed by </w:t>
      </w:r>
      <w:proofErr w:type="spellStart"/>
      <w:r w:rsidRPr="001B79FA">
        <w:rPr>
          <w:rFonts w:asciiTheme="majorBidi" w:hAnsiTheme="majorBidi" w:cstheme="majorBidi"/>
          <w:sz w:val="24"/>
          <w:szCs w:val="24"/>
        </w:rPr>
        <w:t>Quercus</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incana</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Monoteca</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buxifolia</w:t>
      </w:r>
      <w:proofErr w:type="spellEnd"/>
      <w:r w:rsidRPr="001B79FA">
        <w:rPr>
          <w:rFonts w:asciiTheme="majorBidi" w:hAnsiTheme="majorBidi" w:cstheme="majorBidi"/>
          <w:sz w:val="24"/>
          <w:szCs w:val="24"/>
        </w:rPr>
        <w:t xml:space="preserve"> and </w:t>
      </w:r>
      <w:proofErr w:type="spellStart"/>
      <w:r w:rsidRPr="001B79FA">
        <w:rPr>
          <w:rFonts w:asciiTheme="majorBidi" w:hAnsiTheme="majorBidi" w:cstheme="majorBidi"/>
          <w:sz w:val="24"/>
          <w:szCs w:val="24"/>
        </w:rPr>
        <w:t>Butea</w:t>
      </w:r>
      <w:proofErr w:type="spellEnd"/>
      <w:r w:rsidRPr="001B79FA">
        <w:rPr>
          <w:rFonts w:asciiTheme="majorBidi" w:hAnsiTheme="majorBidi" w:cstheme="majorBidi"/>
          <w:sz w:val="24"/>
          <w:szCs w:val="24"/>
        </w:rPr>
        <w:t xml:space="preserve"> </w:t>
      </w:r>
      <w:proofErr w:type="spellStart"/>
      <w:r w:rsidRPr="001B79FA">
        <w:rPr>
          <w:rFonts w:asciiTheme="majorBidi" w:hAnsiTheme="majorBidi" w:cstheme="majorBidi"/>
          <w:sz w:val="24"/>
          <w:szCs w:val="24"/>
        </w:rPr>
        <w:t>monosperma</w:t>
      </w:r>
      <w:proofErr w:type="spellEnd"/>
      <w:r w:rsidRPr="001B79FA">
        <w:rPr>
          <w:rFonts w:asciiTheme="majorBidi" w:hAnsiTheme="majorBidi" w:cstheme="majorBidi"/>
          <w:sz w:val="24"/>
          <w:szCs w:val="24"/>
        </w:rPr>
        <w:t xml:space="preserve">, respectively. It can be concluded that the people of the area hold rich ethno-veterinary knowledge to cure livestock disorders. Due to technological advancement, this traditional ethno-veterinary knowledge will soon disappear and become extinct hence need conservation. </w:t>
      </w:r>
    </w:p>
    <w:p w:rsidR="009B7082" w:rsidRPr="001B79FA" w:rsidRDefault="001B79FA" w:rsidP="001B79FA">
      <w:pPr>
        <w:jc w:val="both"/>
        <w:rPr>
          <w:rFonts w:asciiTheme="majorBidi" w:hAnsiTheme="majorBidi" w:cstheme="majorBidi"/>
          <w:sz w:val="24"/>
          <w:szCs w:val="24"/>
        </w:rPr>
      </w:pPr>
      <w:r w:rsidRPr="001B79FA">
        <w:rPr>
          <w:rFonts w:asciiTheme="majorBidi" w:hAnsiTheme="majorBidi" w:cstheme="majorBidi"/>
          <w:b/>
          <w:bCs/>
          <w:sz w:val="24"/>
          <w:szCs w:val="24"/>
        </w:rPr>
        <w:t>Key words:</w:t>
      </w:r>
      <w:r w:rsidRPr="001B79FA">
        <w:rPr>
          <w:rFonts w:asciiTheme="majorBidi" w:hAnsiTheme="majorBidi" w:cstheme="majorBidi"/>
          <w:sz w:val="24"/>
          <w:szCs w:val="24"/>
        </w:rPr>
        <w:t xml:space="preserve"> Ethno-veterinary, Frequency of citation, Relative frequency of citation, informant’s consensus factor, Direct m</w:t>
      </w:r>
      <w:bookmarkStart w:id="0" w:name="_GoBack"/>
      <w:bookmarkEnd w:id="0"/>
      <w:r w:rsidRPr="001B79FA">
        <w:rPr>
          <w:rFonts w:asciiTheme="majorBidi" w:hAnsiTheme="majorBidi" w:cstheme="majorBidi"/>
          <w:sz w:val="24"/>
          <w:szCs w:val="24"/>
        </w:rPr>
        <w:t>atrix ranking.</w:t>
      </w:r>
    </w:p>
    <w:sectPr w:rsidR="009B7082" w:rsidRPr="001B79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9FA"/>
    <w:rsid w:val="001B79FA"/>
    <w:rsid w:val="00574339"/>
    <w:rsid w:val="00922A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asghar khan</dc:creator>
  <cp:lastModifiedBy>asghar khan</cp:lastModifiedBy>
  <cp:revision>1</cp:revision>
  <dcterms:created xsi:type="dcterms:W3CDTF">2017-09-08T16:58:00Z</dcterms:created>
  <dcterms:modified xsi:type="dcterms:W3CDTF">2017-09-08T17:01:00Z</dcterms:modified>
</cp:coreProperties>
</file>