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60C4" w:rsidRPr="00F1348D" w:rsidRDefault="004060C4" w:rsidP="004060C4">
      <w:pPr>
        <w:pStyle w:val="Default"/>
        <w:spacing w:line="360" w:lineRule="auto"/>
        <w:rPr>
          <w:rFonts w:ascii="Arial" w:hAnsi="Arial" w:cs="Arial"/>
          <w:b/>
          <w:color w:val="000000" w:themeColor="text1"/>
        </w:rPr>
      </w:pPr>
      <w:r>
        <w:rPr>
          <w:rFonts w:ascii="Arial" w:hAnsi="Arial" w:cs="Arial"/>
          <w:b/>
          <w:color w:val="000000" w:themeColor="text1"/>
        </w:rPr>
        <w:t xml:space="preserve">EFFECT OF PRE EMERGENCE SOIL </w:t>
      </w:r>
      <w:proofErr w:type="gramStart"/>
      <w:r>
        <w:rPr>
          <w:rFonts w:ascii="Arial" w:hAnsi="Arial" w:cs="Arial"/>
          <w:b/>
          <w:color w:val="000000" w:themeColor="text1"/>
        </w:rPr>
        <w:t>APPLIED  HALOSULFURON</w:t>
      </w:r>
      <w:proofErr w:type="gramEnd"/>
      <w:r>
        <w:rPr>
          <w:rFonts w:ascii="Arial" w:hAnsi="Arial" w:cs="Arial"/>
          <w:b/>
          <w:color w:val="000000" w:themeColor="text1"/>
        </w:rPr>
        <w:t xml:space="preserve"> HERBICIDES ON  </w:t>
      </w:r>
      <w:r>
        <w:rPr>
          <w:rFonts w:ascii="Arial" w:hAnsi="Arial" w:cs="Arial"/>
          <w:b/>
          <w:color w:val="000000" w:themeColor="text1"/>
        </w:rPr>
        <w:t xml:space="preserve">BROCCOLI </w:t>
      </w:r>
      <w:r w:rsidRPr="00F1348D">
        <w:rPr>
          <w:rFonts w:ascii="Arial" w:hAnsi="Arial" w:cs="Arial"/>
          <w:b/>
          <w:i/>
          <w:color w:val="000000" w:themeColor="text1"/>
        </w:rPr>
        <w:t>(</w:t>
      </w:r>
      <w:r w:rsidRPr="00F1348D">
        <w:rPr>
          <w:rFonts w:ascii="Arial" w:hAnsi="Arial" w:cs="Arial"/>
          <w:b/>
          <w:i/>
          <w:iCs/>
          <w:color w:val="000000" w:themeColor="text1"/>
        </w:rPr>
        <w:t xml:space="preserve">Brassica </w:t>
      </w:r>
      <w:proofErr w:type="spellStart"/>
      <w:r w:rsidRPr="00F1348D">
        <w:rPr>
          <w:rFonts w:ascii="Arial" w:hAnsi="Arial" w:cs="Arial"/>
          <w:b/>
          <w:i/>
          <w:iCs/>
          <w:color w:val="000000" w:themeColor="text1"/>
        </w:rPr>
        <w:t>oleracea</w:t>
      </w:r>
      <w:proofErr w:type="spellEnd"/>
      <w:r w:rsidRPr="00F1348D">
        <w:rPr>
          <w:rFonts w:ascii="Arial" w:hAnsi="Arial" w:cs="Arial"/>
          <w:b/>
          <w:i/>
          <w:color w:val="000000" w:themeColor="text1"/>
        </w:rPr>
        <w:t xml:space="preserve"> var. </w:t>
      </w:r>
      <w:proofErr w:type="spellStart"/>
      <w:r>
        <w:rPr>
          <w:rFonts w:ascii="Arial" w:hAnsi="Arial" w:cs="Arial"/>
          <w:b/>
          <w:i/>
          <w:color w:val="000000" w:themeColor="text1"/>
        </w:rPr>
        <w:t>cymosa</w:t>
      </w:r>
      <w:proofErr w:type="spellEnd"/>
      <w:r w:rsidRPr="00F1348D">
        <w:rPr>
          <w:rFonts w:ascii="Arial" w:hAnsi="Arial" w:cs="Arial"/>
          <w:b/>
          <w:i/>
          <w:color w:val="000000" w:themeColor="text1"/>
        </w:rPr>
        <w:t>)</w:t>
      </w:r>
      <w:r>
        <w:rPr>
          <w:rFonts w:ascii="Arial" w:hAnsi="Arial" w:cs="Arial"/>
          <w:b/>
          <w:color w:val="000000" w:themeColor="text1"/>
        </w:rPr>
        <w:t xml:space="preserve"> HYBRID SEEDLINGS </w:t>
      </w:r>
    </w:p>
    <w:p w:rsidR="004060C4" w:rsidRPr="00F1348D" w:rsidRDefault="004060C4" w:rsidP="004060C4">
      <w:pPr>
        <w:pStyle w:val="Default"/>
        <w:spacing w:line="360" w:lineRule="auto"/>
        <w:jc w:val="center"/>
        <w:rPr>
          <w:rFonts w:ascii="Arial" w:hAnsi="Arial" w:cs="Arial"/>
          <w:b/>
          <w:color w:val="000000" w:themeColor="text1"/>
        </w:rPr>
      </w:pPr>
    </w:p>
    <w:p w:rsidR="004060C4" w:rsidRDefault="004060C4">
      <w:pPr>
        <w:rPr>
          <w:rFonts w:ascii="Arial" w:hAnsi="Arial" w:cs="Arial"/>
          <w:color w:val="000000" w:themeColor="text1"/>
        </w:rPr>
      </w:pPr>
      <w:r>
        <w:rPr>
          <w:rFonts w:ascii="Arial" w:hAnsi="Arial" w:cs="Arial"/>
          <w:color w:val="000000" w:themeColor="text1"/>
        </w:rPr>
        <w:t xml:space="preserve">                                                         </w:t>
      </w:r>
    </w:p>
    <w:p w:rsidR="004060C4" w:rsidRDefault="004060C4">
      <w:pPr>
        <w:rPr>
          <w:rFonts w:ascii="Arial" w:hAnsi="Arial" w:cs="Arial"/>
          <w:color w:val="000000" w:themeColor="text1"/>
        </w:rPr>
      </w:pPr>
    </w:p>
    <w:p w:rsidR="004060C4" w:rsidRPr="004060C4" w:rsidRDefault="00206A05">
      <w:pPr>
        <w:rPr>
          <w:rFonts w:ascii="Arial" w:hAnsi="Arial" w:cs="Arial"/>
          <w:b/>
          <w:color w:val="000000" w:themeColor="text1"/>
        </w:rPr>
      </w:pPr>
      <w:r>
        <w:rPr>
          <w:rFonts w:ascii="Arial" w:hAnsi="Arial" w:cs="Arial"/>
          <w:b/>
          <w:color w:val="000000" w:themeColor="text1"/>
        </w:rPr>
        <w:t xml:space="preserve">                                                         </w:t>
      </w:r>
      <w:r w:rsidR="004060C4" w:rsidRPr="004060C4">
        <w:rPr>
          <w:rFonts w:ascii="Arial" w:hAnsi="Arial" w:cs="Arial"/>
          <w:b/>
          <w:color w:val="000000" w:themeColor="text1"/>
        </w:rPr>
        <w:t>ABSTRACT</w:t>
      </w:r>
    </w:p>
    <w:p w:rsidR="00E46B91" w:rsidRPr="00E46B91" w:rsidRDefault="00E46B91" w:rsidP="00E46B91">
      <w:pPr>
        <w:spacing w:line="360" w:lineRule="auto"/>
        <w:ind w:firstLine="720"/>
        <w:jc w:val="both"/>
        <w:rPr>
          <w:rFonts w:ascii="Arial" w:hAnsi="Arial" w:cs="Arial"/>
          <w:b/>
        </w:rPr>
      </w:pPr>
      <w:r w:rsidRPr="00E46B91">
        <w:rPr>
          <w:rFonts w:ascii="Arial" w:hAnsi="Arial" w:cs="Arial"/>
          <w:b/>
        </w:rPr>
        <w:t xml:space="preserve">The Pest Management Regulatory Agency in South Africa has not registered so many pre-emergence herbicides and recommended for weed management in broccoli crops in South Africa. The aim of this experiment was to test the sensitivity  of  direct-seeded broccoli hybrids to varied application rates of 4 pre-emergence herbicide including; </w:t>
      </w:r>
      <w:proofErr w:type="spellStart"/>
      <w:r w:rsidRPr="00E46B91">
        <w:rPr>
          <w:rFonts w:ascii="Arial" w:hAnsi="Arial" w:cs="Arial"/>
          <w:b/>
        </w:rPr>
        <w:t>Metolachlor</w:t>
      </w:r>
      <w:proofErr w:type="spellEnd"/>
      <w:r w:rsidRPr="00E46B91">
        <w:rPr>
          <w:rFonts w:ascii="Arial" w:hAnsi="Arial" w:cs="Arial"/>
          <w:b/>
        </w:rPr>
        <w:t xml:space="preserve"> at (0.4, 0.8, 1.2, 1.6,2.0,2.4 and 2.8l/ha), </w:t>
      </w:r>
      <w:proofErr w:type="spellStart"/>
      <w:r w:rsidRPr="00E46B91">
        <w:rPr>
          <w:rFonts w:ascii="Arial" w:hAnsi="Arial" w:cs="Arial"/>
          <w:b/>
        </w:rPr>
        <w:t>Clomazone</w:t>
      </w:r>
      <w:proofErr w:type="spellEnd"/>
      <w:r w:rsidRPr="00E46B91">
        <w:rPr>
          <w:rFonts w:ascii="Arial" w:hAnsi="Arial" w:cs="Arial"/>
          <w:b/>
        </w:rPr>
        <w:t xml:space="preserve"> (1.0, 2.0, 3.0, 4.0, 5.0 6.0 and 7.0 ppm/ha), </w:t>
      </w:r>
      <w:proofErr w:type="spellStart"/>
      <w:r w:rsidRPr="00E46B91">
        <w:rPr>
          <w:rFonts w:ascii="Arial" w:hAnsi="Arial" w:cs="Arial"/>
          <w:b/>
        </w:rPr>
        <w:t>Oxadiazon</w:t>
      </w:r>
      <w:proofErr w:type="spellEnd"/>
      <w:r w:rsidRPr="00E46B91">
        <w:rPr>
          <w:rFonts w:ascii="Arial" w:hAnsi="Arial" w:cs="Arial"/>
          <w:b/>
        </w:rPr>
        <w:t xml:space="preserve"> (0.25, 0.5, 1.0, 1.5, 1.75, 2.0 and 2.5 l/ha), </w:t>
      </w:r>
      <w:proofErr w:type="spellStart"/>
      <w:r w:rsidRPr="00E46B91">
        <w:rPr>
          <w:rFonts w:ascii="Arial" w:hAnsi="Arial" w:cs="Arial"/>
          <w:b/>
        </w:rPr>
        <w:t>Halosulfuron</w:t>
      </w:r>
      <w:proofErr w:type="spellEnd"/>
      <w:r w:rsidRPr="00E46B91">
        <w:rPr>
          <w:rFonts w:ascii="Arial" w:hAnsi="Arial" w:cs="Arial"/>
          <w:b/>
        </w:rPr>
        <w:t xml:space="preserve"> (0.015, 0.025, 0.040, 0.055, 0.070, 0.085 and 0.1l/ha) and a non-herbicide treated control. It was discovered that herbicide tolerance among broccoli hybrids was dependent on herbicide formulation and application rates. A high visual crop injury generally was observed in </w:t>
      </w:r>
      <w:proofErr w:type="spellStart"/>
      <w:r w:rsidRPr="00E46B91">
        <w:rPr>
          <w:rFonts w:ascii="Arial" w:hAnsi="Arial" w:cs="Arial"/>
          <w:b/>
        </w:rPr>
        <w:t>metolachlor</w:t>
      </w:r>
      <w:proofErr w:type="spellEnd"/>
      <w:r w:rsidRPr="00E46B91">
        <w:rPr>
          <w:rFonts w:ascii="Arial" w:hAnsi="Arial" w:cs="Arial"/>
          <w:b/>
        </w:rPr>
        <w:t xml:space="preserve">, </w:t>
      </w:r>
      <w:proofErr w:type="spellStart"/>
      <w:r w:rsidRPr="00E46B91">
        <w:rPr>
          <w:rFonts w:ascii="Arial" w:hAnsi="Arial" w:cs="Arial"/>
          <w:b/>
        </w:rPr>
        <w:t>clomazone</w:t>
      </w:r>
      <w:proofErr w:type="spellEnd"/>
      <w:r w:rsidRPr="00E46B91">
        <w:rPr>
          <w:rFonts w:ascii="Arial" w:hAnsi="Arial" w:cs="Arial"/>
          <w:b/>
        </w:rPr>
        <w:t xml:space="preserve"> and the highest was in </w:t>
      </w:r>
      <w:proofErr w:type="spellStart"/>
      <w:r w:rsidRPr="00E46B91">
        <w:rPr>
          <w:rFonts w:ascii="Arial" w:hAnsi="Arial" w:cs="Arial"/>
          <w:b/>
        </w:rPr>
        <w:t>oxadiazon</w:t>
      </w:r>
      <w:proofErr w:type="spellEnd"/>
      <w:r w:rsidRPr="00E46B91">
        <w:rPr>
          <w:rFonts w:ascii="Arial" w:hAnsi="Arial" w:cs="Arial"/>
          <w:b/>
        </w:rPr>
        <w:t xml:space="preserve"> while </w:t>
      </w:r>
      <w:proofErr w:type="spellStart"/>
      <w:r w:rsidRPr="00E46B91">
        <w:rPr>
          <w:rFonts w:ascii="Arial" w:hAnsi="Arial" w:cs="Arial"/>
          <w:b/>
        </w:rPr>
        <w:t>halosulfuron</w:t>
      </w:r>
      <w:proofErr w:type="spellEnd"/>
      <w:r w:rsidRPr="00E46B91">
        <w:rPr>
          <w:rFonts w:ascii="Arial" w:hAnsi="Arial" w:cs="Arial"/>
          <w:b/>
        </w:rPr>
        <w:t xml:space="preserve"> had the least injury. </w:t>
      </w:r>
      <w:proofErr w:type="spellStart"/>
      <w:r w:rsidRPr="00E46B91">
        <w:rPr>
          <w:rFonts w:ascii="Arial" w:hAnsi="Arial" w:cs="Arial"/>
          <w:b/>
        </w:rPr>
        <w:t>Halosulfuron</w:t>
      </w:r>
      <w:proofErr w:type="spellEnd"/>
      <w:r w:rsidRPr="00E46B91">
        <w:rPr>
          <w:rFonts w:ascii="Arial" w:hAnsi="Arial" w:cs="Arial"/>
          <w:b/>
        </w:rPr>
        <w:t xml:space="preserve"> caused a 10% visual injury. </w:t>
      </w:r>
      <w:proofErr w:type="spellStart"/>
      <w:r w:rsidRPr="00E46B91">
        <w:rPr>
          <w:rFonts w:ascii="Arial" w:hAnsi="Arial" w:cs="Arial"/>
          <w:b/>
        </w:rPr>
        <w:t>Clomazone</w:t>
      </w:r>
      <w:proofErr w:type="spellEnd"/>
      <w:r w:rsidRPr="00E46B91">
        <w:rPr>
          <w:rFonts w:ascii="Arial" w:hAnsi="Arial" w:cs="Arial"/>
          <w:b/>
        </w:rPr>
        <w:t xml:space="preserve"> and </w:t>
      </w:r>
      <w:proofErr w:type="spellStart"/>
      <w:r w:rsidRPr="00E46B91">
        <w:rPr>
          <w:rFonts w:ascii="Arial" w:hAnsi="Arial" w:cs="Arial"/>
          <w:b/>
        </w:rPr>
        <w:t>Metolachlor</w:t>
      </w:r>
      <w:proofErr w:type="spellEnd"/>
      <w:r w:rsidRPr="00E46B91">
        <w:rPr>
          <w:rFonts w:ascii="Arial" w:hAnsi="Arial" w:cs="Arial"/>
          <w:b/>
        </w:rPr>
        <w:t xml:space="preserve"> herbicides caused unacceptable injury (greater than 25%) at the proposed use dose of each herbicide applied at planting assessed at 7, 14, and 28 days after treatment (DAT). </w:t>
      </w:r>
      <w:proofErr w:type="spellStart"/>
      <w:r w:rsidRPr="00E46B91">
        <w:rPr>
          <w:rFonts w:ascii="Arial" w:hAnsi="Arial" w:cs="Arial"/>
          <w:b/>
        </w:rPr>
        <w:t>Halosulfuron</w:t>
      </w:r>
      <w:proofErr w:type="spellEnd"/>
      <w:r w:rsidRPr="00E46B91">
        <w:rPr>
          <w:rFonts w:ascii="Arial" w:hAnsi="Arial" w:cs="Arial"/>
          <w:b/>
        </w:rPr>
        <w:t xml:space="preserve"> is the only herbicide to which broccoli possessed an acceptable level of tolerance at application rates of 0.015, 0.025, 0.04 and 0.055 l/ha. </w:t>
      </w:r>
    </w:p>
    <w:p w:rsidR="00EC27A7" w:rsidRDefault="00E46B91" w:rsidP="00E46B91">
      <w:pPr>
        <w:spacing w:line="360" w:lineRule="auto"/>
        <w:ind w:firstLine="720"/>
        <w:jc w:val="both"/>
        <w:rPr>
          <w:rFonts w:ascii="Arial" w:hAnsi="Arial" w:cs="Arial"/>
          <w:b/>
        </w:rPr>
      </w:pPr>
      <w:r w:rsidRPr="00E46B91">
        <w:rPr>
          <w:rFonts w:ascii="Arial" w:hAnsi="Arial" w:cs="Arial"/>
          <w:b/>
        </w:rPr>
        <w:t xml:space="preserve">Keywords: Broccoli; Sensitivity; </w:t>
      </w:r>
      <w:proofErr w:type="spellStart"/>
      <w:r w:rsidRPr="00E46B91">
        <w:rPr>
          <w:rFonts w:ascii="Arial" w:hAnsi="Arial" w:cs="Arial"/>
          <w:b/>
        </w:rPr>
        <w:t>Metolachlor</w:t>
      </w:r>
      <w:proofErr w:type="spellEnd"/>
      <w:r w:rsidRPr="00E46B91">
        <w:rPr>
          <w:rFonts w:ascii="Arial" w:hAnsi="Arial" w:cs="Arial"/>
          <w:b/>
        </w:rPr>
        <w:t xml:space="preserve">; </w:t>
      </w:r>
      <w:proofErr w:type="spellStart"/>
      <w:r w:rsidRPr="00E46B91">
        <w:rPr>
          <w:rFonts w:ascii="Arial" w:hAnsi="Arial" w:cs="Arial"/>
          <w:b/>
        </w:rPr>
        <w:t>Oxadiazon</w:t>
      </w:r>
      <w:proofErr w:type="spellEnd"/>
      <w:r w:rsidRPr="00E46B91">
        <w:rPr>
          <w:rFonts w:ascii="Arial" w:hAnsi="Arial" w:cs="Arial"/>
          <w:b/>
        </w:rPr>
        <w:t xml:space="preserve">; </w:t>
      </w:r>
      <w:proofErr w:type="spellStart"/>
      <w:r w:rsidRPr="00E46B91">
        <w:rPr>
          <w:rFonts w:ascii="Arial" w:hAnsi="Arial" w:cs="Arial"/>
          <w:b/>
        </w:rPr>
        <w:t>Clomazone</w:t>
      </w:r>
      <w:proofErr w:type="spellEnd"/>
      <w:r w:rsidRPr="00E46B91">
        <w:rPr>
          <w:rFonts w:ascii="Arial" w:hAnsi="Arial" w:cs="Arial"/>
          <w:b/>
        </w:rPr>
        <w:t xml:space="preserve">; </w:t>
      </w:r>
      <w:proofErr w:type="spellStart"/>
      <w:r w:rsidRPr="00E46B91">
        <w:rPr>
          <w:rFonts w:ascii="Arial" w:hAnsi="Arial" w:cs="Arial"/>
          <w:b/>
        </w:rPr>
        <w:t>Halosulfuron</w:t>
      </w:r>
      <w:proofErr w:type="spellEnd"/>
      <w:r w:rsidRPr="00E46B91">
        <w:rPr>
          <w:rFonts w:ascii="Arial" w:hAnsi="Arial" w:cs="Arial"/>
          <w:b/>
        </w:rPr>
        <w:t>; Visible injury symptoms, pre-plant incorporated and Pre-emergence.</w:t>
      </w:r>
    </w:p>
    <w:p w:rsidR="00986959" w:rsidRDefault="00986959" w:rsidP="00EC27A7">
      <w:pPr>
        <w:spacing w:line="360" w:lineRule="auto"/>
        <w:rPr>
          <w:rFonts w:ascii="Arial" w:hAnsi="Arial" w:cs="Arial"/>
          <w:b/>
          <w:sz w:val="24"/>
          <w:szCs w:val="24"/>
        </w:rPr>
      </w:pPr>
    </w:p>
    <w:p w:rsidR="00986959" w:rsidRDefault="00986959" w:rsidP="00EC27A7">
      <w:pPr>
        <w:spacing w:line="360" w:lineRule="auto"/>
        <w:rPr>
          <w:rFonts w:ascii="Arial" w:hAnsi="Arial" w:cs="Arial"/>
          <w:b/>
          <w:sz w:val="24"/>
          <w:szCs w:val="24"/>
        </w:rPr>
      </w:pPr>
    </w:p>
    <w:p w:rsidR="00986959" w:rsidRDefault="00986959" w:rsidP="00EC27A7">
      <w:pPr>
        <w:spacing w:line="360" w:lineRule="auto"/>
        <w:rPr>
          <w:rFonts w:ascii="Arial" w:hAnsi="Arial" w:cs="Arial"/>
          <w:b/>
          <w:sz w:val="24"/>
          <w:szCs w:val="24"/>
        </w:rPr>
      </w:pPr>
    </w:p>
    <w:p w:rsidR="00986959" w:rsidRDefault="00986959" w:rsidP="00EC27A7">
      <w:pPr>
        <w:spacing w:line="360" w:lineRule="auto"/>
        <w:rPr>
          <w:rFonts w:ascii="Arial" w:hAnsi="Arial" w:cs="Arial"/>
          <w:b/>
          <w:sz w:val="24"/>
          <w:szCs w:val="24"/>
        </w:rPr>
      </w:pPr>
    </w:p>
    <w:p w:rsidR="00986959" w:rsidRDefault="00986959" w:rsidP="00EC27A7">
      <w:pPr>
        <w:spacing w:line="360" w:lineRule="auto"/>
        <w:rPr>
          <w:rFonts w:ascii="Arial" w:hAnsi="Arial" w:cs="Arial"/>
          <w:b/>
          <w:sz w:val="24"/>
          <w:szCs w:val="24"/>
        </w:rPr>
      </w:pPr>
    </w:p>
    <w:p w:rsidR="00986959" w:rsidRDefault="00986959" w:rsidP="00EC27A7">
      <w:pPr>
        <w:spacing w:line="360" w:lineRule="auto"/>
        <w:rPr>
          <w:rFonts w:ascii="Arial" w:hAnsi="Arial" w:cs="Arial"/>
          <w:b/>
          <w:sz w:val="24"/>
          <w:szCs w:val="24"/>
        </w:rPr>
      </w:pPr>
    </w:p>
    <w:p w:rsidR="00986959" w:rsidRDefault="00986959" w:rsidP="00EC27A7">
      <w:pPr>
        <w:spacing w:line="360" w:lineRule="auto"/>
        <w:rPr>
          <w:rFonts w:ascii="Arial" w:hAnsi="Arial" w:cs="Arial"/>
          <w:b/>
          <w:sz w:val="24"/>
          <w:szCs w:val="24"/>
        </w:rPr>
      </w:pPr>
    </w:p>
    <w:p w:rsidR="00986959" w:rsidRDefault="00EC27A7" w:rsidP="00986959">
      <w:pPr>
        <w:spacing w:line="360" w:lineRule="auto"/>
        <w:rPr>
          <w:rFonts w:ascii="Arial" w:hAnsi="Arial" w:cs="Arial"/>
          <w:b/>
          <w:sz w:val="24"/>
          <w:szCs w:val="24"/>
        </w:rPr>
      </w:pPr>
      <w:r w:rsidRPr="0028274B">
        <w:rPr>
          <w:rFonts w:ascii="Arial" w:hAnsi="Arial" w:cs="Arial"/>
          <w:b/>
          <w:sz w:val="24"/>
          <w:szCs w:val="24"/>
        </w:rPr>
        <w:lastRenderedPageBreak/>
        <w:t>INTRODUCTION</w:t>
      </w:r>
    </w:p>
    <w:p w:rsidR="00986959" w:rsidRDefault="00E46B91" w:rsidP="00986959">
      <w:pPr>
        <w:spacing w:line="360" w:lineRule="auto"/>
        <w:jc w:val="both"/>
        <w:rPr>
          <w:rFonts w:ascii="Arial" w:hAnsi="Arial" w:cs="Arial"/>
          <w:color w:val="000000" w:themeColor="text1"/>
          <w:sz w:val="24"/>
          <w:szCs w:val="24"/>
        </w:rPr>
      </w:pPr>
      <w:r w:rsidRPr="00986959">
        <w:rPr>
          <w:rFonts w:ascii="Arial" w:hAnsi="Arial" w:cs="Arial"/>
          <w:color w:val="000000" w:themeColor="text1"/>
          <w:sz w:val="24"/>
          <w:szCs w:val="24"/>
        </w:rPr>
        <w:t xml:space="preserve">Broccoli (Brassica </w:t>
      </w:r>
      <w:proofErr w:type="spellStart"/>
      <w:r w:rsidRPr="00986959">
        <w:rPr>
          <w:rFonts w:ascii="Arial" w:hAnsi="Arial" w:cs="Arial"/>
          <w:color w:val="000000" w:themeColor="text1"/>
          <w:sz w:val="24"/>
          <w:szCs w:val="24"/>
        </w:rPr>
        <w:t>oleracea</w:t>
      </w:r>
      <w:proofErr w:type="spellEnd"/>
      <w:r w:rsidRPr="00986959">
        <w:rPr>
          <w:rFonts w:ascii="Arial" w:hAnsi="Arial" w:cs="Arial"/>
          <w:color w:val="000000" w:themeColor="text1"/>
          <w:sz w:val="24"/>
          <w:szCs w:val="24"/>
        </w:rPr>
        <w:t xml:space="preserve"> var. </w:t>
      </w:r>
      <w:proofErr w:type="spellStart"/>
      <w:r w:rsidRPr="00986959">
        <w:rPr>
          <w:rFonts w:ascii="Arial" w:hAnsi="Arial" w:cs="Arial"/>
          <w:color w:val="000000" w:themeColor="text1"/>
          <w:sz w:val="24"/>
          <w:szCs w:val="24"/>
        </w:rPr>
        <w:t>cymosa</w:t>
      </w:r>
      <w:proofErr w:type="spellEnd"/>
      <w:r w:rsidRPr="00986959">
        <w:rPr>
          <w:rFonts w:ascii="Arial" w:hAnsi="Arial" w:cs="Arial"/>
          <w:color w:val="000000" w:themeColor="text1"/>
          <w:sz w:val="24"/>
          <w:szCs w:val="24"/>
        </w:rPr>
        <w:t xml:space="preserve">), have a common origin in a variety of wild forms of Brassica </w:t>
      </w:r>
      <w:proofErr w:type="spellStart"/>
      <w:r w:rsidRPr="00986959">
        <w:rPr>
          <w:rFonts w:ascii="Arial" w:hAnsi="Arial" w:cs="Arial"/>
          <w:color w:val="000000" w:themeColor="text1"/>
          <w:sz w:val="24"/>
          <w:szCs w:val="24"/>
        </w:rPr>
        <w:t>oleracea</w:t>
      </w:r>
      <w:proofErr w:type="spellEnd"/>
      <w:r w:rsidRPr="00986959">
        <w:rPr>
          <w:rFonts w:ascii="Arial" w:hAnsi="Arial" w:cs="Arial"/>
          <w:color w:val="000000" w:themeColor="text1"/>
          <w:sz w:val="24"/>
          <w:szCs w:val="24"/>
        </w:rPr>
        <w:t xml:space="preserve"> group of cultivated </w:t>
      </w:r>
      <w:proofErr w:type="spellStart"/>
      <w:r w:rsidRPr="00986959">
        <w:rPr>
          <w:rFonts w:ascii="Arial" w:hAnsi="Arial" w:cs="Arial"/>
          <w:color w:val="000000" w:themeColor="text1"/>
          <w:sz w:val="24"/>
          <w:szCs w:val="24"/>
        </w:rPr>
        <w:t>cole</w:t>
      </w:r>
      <w:proofErr w:type="spellEnd"/>
      <w:r w:rsidRPr="00986959">
        <w:rPr>
          <w:rFonts w:ascii="Arial" w:hAnsi="Arial" w:cs="Arial"/>
          <w:color w:val="000000" w:themeColor="text1"/>
          <w:sz w:val="24"/>
          <w:szCs w:val="24"/>
        </w:rPr>
        <w:t xml:space="preserve"> crops (Gray, 1982). These members of the </w:t>
      </w:r>
      <w:proofErr w:type="spellStart"/>
      <w:r w:rsidRPr="00986959">
        <w:rPr>
          <w:rFonts w:ascii="Arial" w:hAnsi="Arial" w:cs="Arial"/>
          <w:color w:val="000000" w:themeColor="text1"/>
          <w:sz w:val="24"/>
          <w:szCs w:val="24"/>
        </w:rPr>
        <w:t>Brassicaceae</w:t>
      </w:r>
      <w:proofErr w:type="spellEnd"/>
      <w:r w:rsidRPr="00986959">
        <w:rPr>
          <w:rFonts w:ascii="Arial" w:hAnsi="Arial" w:cs="Arial"/>
          <w:color w:val="000000" w:themeColor="text1"/>
          <w:sz w:val="24"/>
          <w:szCs w:val="24"/>
        </w:rPr>
        <w:t xml:space="preserve"> family include cabbage, broccoli, sprouts, mustard, rape seeds and </w:t>
      </w:r>
      <w:proofErr w:type="spellStart"/>
      <w:r w:rsidRPr="00986959">
        <w:rPr>
          <w:rFonts w:ascii="Arial" w:hAnsi="Arial" w:cs="Arial"/>
          <w:color w:val="000000" w:themeColor="text1"/>
          <w:sz w:val="24"/>
          <w:szCs w:val="24"/>
        </w:rPr>
        <w:t>brussels</w:t>
      </w:r>
      <w:proofErr w:type="spellEnd"/>
      <w:r w:rsidRPr="00986959">
        <w:rPr>
          <w:rFonts w:ascii="Arial" w:hAnsi="Arial" w:cs="Arial"/>
          <w:color w:val="000000" w:themeColor="text1"/>
          <w:sz w:val="24"/>
          <w:szCs w:val="24"/>
        </w:rPr>
        <w:t xml:space="preserve"> (Sharma, 2004). Broccoli and cauliflower are both related to cabbage and mustard, and some varieties of each are actually sold as the other. In appearance, most cauliflower has closely bunched tight masses that appear together on stems. Broccoli's flower masses are more loosely distributed so that it's possible to see space in between each stalk. Cauliflower is more likely to have an overall delicate taste, and broccoli tends to taste “greener” with a stronger </w:t>
      </w:r>
      <w:proofErr w:type="spellStart"/>
      <w:r w:rsidRPr="00986959">
        <w:rPr>
          <w:rFonts w:ascii="Arial" w:hAnsi="Arial" w:cs="Arial"/>
          <w:color w:val="000000" w:themeColor="text1"/>
          <w:sz w:val="24"/>
          <w:szCs w:val="24"/>
        </w:rPr>
        <w:t>flavor</w:t>
      </w:r>
      <w:proofErr w:type="spellEnd"/>
      <w:r w:rsidRPr="00986959">
        <w:rPr>
          <w:rFonts w:ascii="Arial" w:hAnsi="Arial" w:cs="Arial"/>
          <w:color w:val="000000" w:themeColor="text1"/>
          <w:sz w:val="24"/>
          <w:szCs w:val="24"/>
        </w:rPr>
        <w:t>.</w:t>
      </w:r>
    </w:p>
    <w:p w:rsidR="00986959" w:rsidRDefault="00E46B91" w:rsidP="00986959">
      <w:pPr>
        <w:spacing w:line="360" w:lineRule="auto"/>
        <w:jc w:val="both"/>
        <w:rPr>
          <w:rFonts w:ascii="Arial" w:hAnsi="Arial" w:cs="Arial"/>
          <w:color w:val="000000" w:themeColor="text1"/>
          <w:sz w:val="24"/>
          <w:szCs w:val="24"/>
        </w:rPr>
      </w:pPr>
      <w:r w:rsidRPr="00986959">
        <w:rPr>
          <w:rFonts w:ascii="Arial" w:hAnsi="Arial" w:cs="Arial"/>
          <w:color w:val="000000" w:themeColor="text1"/>
          <w:sz w:val="24"/>
          <w:szCs w:val="24"/>
        </w:rPr>
        <w:t>Anonymous (2017) reported that direct seeding practice is rarely followed in South Africa, for the following reasons, the harsh climate often experienced such as El-Nino, lack of solid-set sprinklers and lack of controlling weeds adequately on the larger field for those who are doing production commercially.</w:t>
      </w:r>
    </w:p>
    <w:p w:rsidR="00986959" w:rsidRDefault="00E46B91" w:rsidP="00986959">
      <w:pPr>
        <w:spacing w:line="360" w:lineRule="auto"/>
        <w:jc w:val="both"/>
        <w:rPr>
          <w:rFonts w:ascii="Arial" w:hAnsi="Arial" w:cs="Arial"/>
          <w:color w:val="000000" w:themeColor="text1"/>
          <w:sz w:val="24"/>
          <w:szCs w:val="24"/>
        </w:rPr>
      </w:pPr>
      <w:r w:rsidRPr="00986959">
        <w:rPr>
          <w:rFonts w:ascii="Arial" w:hAnsi="Arial" w:cs="Arial"/>
          <w:color w:val="000000" w:themeColor="text1"/>
          <w:sz w:val="24"/>
          <w:szCs w:val="24"/>
        </w:rPr>
        <w:t>In South Africa, a major limitation to direct-seeding of broccoli, cabbage, and other Cole crops is the lack of effective herbicides for soil-applied pre-emergence weed control. Weed management is one of the major production practice considerations in broccoli as their short physical characteristics do not allow them to compete against regular annual weeds either grasses or broad-leaved weeds (Dillard, 2004). Weeds infestation in the field reduces the yield and during early growth stages, crop-weed competition is more serious (</w:t>
      </w:r>
      <w:proofErr w:type="spellStart"/>
      <w:r w:rsidRPr="00986959">
        <w:rPr>
          <w:rFonts w:ascii="Arial" w:hAnsi="Arial" w:cs="Arial"/>
          <w:color w:val="000000" w:themeColor="text1"/>
          <w:sz w:val="24"/>
          <w:szCs w:val="24"/>
        </w:rPr>
        <w:t>Umeada</w:t>
      </w:r>
      <w:proofErr w:type="spellEnd"/>
      <w:r w:rsidRPr="00986959">
        <w:rPr>
          <w:rFonts w:ascii="Arial" w:hAnsi="Arial" w:cs="Arial"/>
          <w:color w:val="000000" w:themeColor="text1"/>
          <w:sz w:val="24"/>
          <w:szCs w:val="24"/>
        </w:rPr>
        <w:t xml:space="preserve">, 2000). Although important to the vegetable industry, only a few </w:t>
      </w:r>
      <w:proofErr w:type="spellStart"/>
      <w:r w:rsidRPr="00986959">
        <w:rPr>
          <w:rFonts w:ascii="Arial" w:hAnsi="Arial" w:cs="Arial"/>
          <w:color w:val="000000" w:themeColor="text1"/>
          <w:sz w:val="24"/>
          <w:szCs w:val="24"/>
        </w:rPr>
        <w:t>preemergence</w:t>
      </w:r>
      <w:proofErr w:type="spellEnd"/>
      <w:r w:rsidRPr="00986959">
        <w:rPr>
          <w:rFonts w:ascii="Arial" w:hAnsi="Arial" w:cs="Arial"/>
          <w:color w:val="000000" w:themeColor="text1"/>
          <w:sz w:val="24"/>
          <w:szCs w:val="24"/>
        </w:rPr>
        <w:t xml:space="preserve"> herbicides are registered and literature regarding the tolerance of vegetable crops to </w:t>
      </w:r>
      <w:proofErr w:type="spellStart"/>
      <w:r w:rsidRPr="00986959">
        <w:rPr>
          <w:rFonts w:ascii="Arial" w:hAnsi="Arial" w:cs="Arial"/>
          <w:color w:val="000000" w:themeColor="text1"/>
          <w:sz w:val="24"/>
          <w:szCs w:val="24"/>
        </w:rPr>
        <w:t>preemergence</w:t>
      </w:r>
      <w:proofErr w:type="spellEnd"/>
      <w:r w:rsidRPr="00986959">
        <w:rPr>
          <w:rFonts w:ascii="Arial" w:hAnsi="Arial" w:cs="Arial"/>
          <w:color w:val="000000" w:themeColor="text1"/>
          <w:sz w:val="24"/>
          <w:szCs w:val="24"/>
        </w:rPr>
        <w:t xml:space="preserve"> herbicides is limited (Bell, 2000). </w:t>
      </w:r>
    </w:p>
    <w:p w:rsidR="00E46B91" w:rsidRPr="00986959" w:rsidRDefault="00E46B91" w:rsidP="00986959">
      <w:pPr>
        <w:spacing w:line="360" w:lineRule="auto"/>
        <w:jc w:val="both"/>
        <w:rPr>
          <w:rFonts w:ascii="Arial" w:hAnsi="Arial" w:cs="Arial"/>
          <w:color w:val="000000" w:themeColor="text1"/>
          <w:sz w:val="24"/>
          <w:szCs w:val="24"/>
        </w:rPr>
      </w:pPr>
      <w:r w:rsidRPr="00986959">
        <w:rPr>
          <w:rFonts w:ascii="Arial" w:hAnsi="Arial" w:cs="Arial"/>
          <w:color w:val="000000" w:themeColor="text1"/>
          <w:sz w:val="24"/>
          <w:szCs w:val="24"/>
        </w:rPr>
        <w:t>Soil-applied pre-plant incorporated (PPI) and pre-emergence (PRE) herbicides are imperative herbicides for use if the production of broccoli as they control early season weeds and if they are residual, can provide season-long weed control (</w:t>
      </w:r>
      <w:proofErr w:type="spellStart"/>
      <w:r w:rsidRPr="00986959">
        <w:rPr>
          <w:rFonts w:ascii="Arial" w:hAnsi="Arial" w:cs="Arial"/>
          <w:color w:val="000000" w:themeColor="text1"/>
          <w:sz w:val="24"/>
          <w:szCs w:val="24"/>
        </w:rPr>
        <w:t>Menalled</w:t>
      </w:r>
      <w:proofErr w:type="spellEnd"/>
      <w:r w:rsidRPr="00986959">
        <w:rPr>
          <w:rFonts w:ascii="Arial" w:hAnsi="Arial" w:cs="Arial"/>
          <w:color w:val="000000" w:themeColor="text1"/>
          <w:sz w:val="24"/>
          <w:szCs w:val="24"/>
        </w:rPr>
        <w:t>, 2004).</w:t>
      </w:r>
    </w:p>
    <w:p w:rsidR="00986959" w:rsidRDefault="00986959" w:rsidP="00986959"/>
    <w:p w:rsidR="00EC27A7" w:rsidRDefault="00986959" w:rsidP="00EC27A7">
      <w:pPr>
        <w:pStyle w:val="Heading2"/>
        <w:spacing w:line="360" w:lineRule="auto"/>
        <w:rPr>
          <w:rFonts w:ascii="Arial" w:hAnsi="Arial" w:cs="Arial"/>
          <w:color w:val="000000" w:themeColor="text1"/>
          <w:sz w:val="24"/>
          <w:szCs w:val="24"/>
        </w:rPr>
      </w:pPr>
      <w:r>
        <w:rPr>
          <w:rFonts w:ascii="Arial" w:hAnsi="Arial" w:cs="Arial"/>
          <w:color w:val="000000" w:themeColor="text1"/>
          <w:sz w:val="24"/>
          <w:szCs w:val="24"/>
        </w:rPr>
        <w:lastRenderedPageBreak/>
        <w:t>MATERIALS AND METHODS</w:t>
      </w:r>
    </w:p>
    <w:p w:rsidR="00EC27A7" w:rsidRDefault="00EC27A7" w:rsidP="00EC27A7">
      <w:pPr>
        <w:pStyle w:val="Heading2"/>
        <w:spacing w:line="360" w:lineRule="auto"/>
        <w:rPr>
          <w:rFonts w:ascii="Arial" w:hAnsi="Arial" w:cs="Arial"/>
          <w:color w:val="000000" w:themeColor="text1"/>
          <w:sz w:val="24"/>
          <w:szCs w:val="24"/>
        </w:rPr>
      </w:pPr>
      <w:r w:rsidRPr="0028274B">
        <w:rPr>
          <w:rFonts w:ascii="Arial" w:hAnsi="Arial" w:cs="Arial"/>
          <w:color w:val="000000" w:themeColor="text1"/>
          <w:sz w:val="24"/>
          <w:szCs w:val="24"/>
        </w:rPr>
        <w:t>Experimental Site</w:t>
      </w:r>
    </w:p>
    <w:p w:rsidR="00E46B91" w:rsidRDefault="00E46B91" w:rsidP="00E46B91">
      <w:pPr>
        <w:spacing w:line="360" w:lineRule="auto"/>
        <w:jc w:val="both"/>
        <w:rPr>
          <w:rFonts w:ascii="Arial" w:hAnsi="Arial" w:cs="Arial"/>
          <w:color w:val="000000" w:themeColor="text1"/>
          <w:sz w:val="24"/>
          <w:szCs w:val="24"/>
        </w:rPr>
      </w:pPr>
      <w:r w:rsidRPr="00E46B91">
        <w:rPr>
          <w:rFonts w:ascii="Arial" w:hAnsi="Arial" w:cs="Arial"/>
          <w:color w:val="000000" w:themeColor="text1"/>
          <w:sz w:val="24"/>
          <w:szCs w:val="24"/>
        </w:rPr>
        <w:t xml:space="preserve">A glasshouse experiment was conducted in 2017 using </w:t>
      </w:r>
      <w:proofErr w:type="spellStart"/>
      <w:r w:rsidRPr="00E46B91">
        <w:rPr>
          <w:rFonts w:ascii="Arial" w:hAnsi="Arial" w:cs="Arial"/>
          <w:color w:val="000000" w:themeColor="text1"/>
          <w:sz w:val="24"/>
          <w:szCs w:val="24"/>
        </w:rPr>
        <w:t>Clomazone</w:t>
      </w:r>
      <w:proofErr w:type="spellEnd"/>
      <w:r w:rsidRPr="00E46B91">
        <w:rPr>
          <w:rFonts w:ascii="Arial" w:hAnsi="Arial" w:cs="Arial"/>
          <w:color w:val="000000" w:themeColor="text1"/>
          <w:sz w:val="24"/>
          <w:szCs w:val="24"/>
        </w:rPr>
        <w:t xml:space="preserve">, </w:t>
      </w:r>
      <w:proofErr w:type="spellStart"/>
      <w:r w:rsidRPr="00E46B91">
        <w:rPr>
          <w:rFonts w:ascii="Arial" w:hAnsi="Arial" w:cs="Arial"/>
          <w:color w:val="000000" w:themeColor="text1"/>
          <w:sz w:val="24"/>
          <w:szCs w:val="24"/>
        </w:rPr>
        <w:t>Metolachlor</w:t>
      </w:r>
      <w:proofErr w:type="spellEnd"/>
      <w:r w:rsidRPr="00E46B91">
        <w:rPr>
          <w:rFonts w:ascii="Arial" w:hAnsi="Arial" w:cs="Arial"/>
          <w:color w:val="000000" w:themeColor="text1"/>
          <w:sz w:val="24"/>
          <w:szCs w:val="24"/>
        </w:rPr>
        <w:t xml:space="preserve">, </w:t>
      </w:r>
      <w:proofErr w:type="spellStart"/>
      <w:r w:rsidRPr="00E46B91">
        <w:rPr>
          <w:rFonts w:ascii="Arial" w:hAnsi="Arial" w:cs="Arial"/>
          <w:color w:val="000000" w:themeColor="text1"/>
          <w:sz w:val="24"/>
          <w:szCs w:val="24"/>
        </w:rPr>
        <w:t>Oxadizon</w:t>
      </w:r>
      <w:proofErr w:type="spellEnd"/>
      <w:r w:rsidRPr="00E46B91">
        <w:rPr>
          <w:rFonts w:ascii="Arial" w:hAnsi="Arial" w:cs="Arial"/>
          <w:color w:val="000000" w:themeColor="text1"/>
          <w:sz w:val="24"/>
          <w:szCs w:val="24"/>
        </w:rPr>
        <w:t xml:space="preserve">, and </w:t>
      </w:r>
      <w:proofErr w:type="spellStart"/>
      <w:r w:rsidRPr="00E46B91">
        <w:rPr>
          <w:rFonts w:ascii="Arial" w:hAnsi="Arial" w:cs="Arial"/>
          <w:color w:val="000000" w:themeColor="text1"/>
          <w:sz w:val="24"/>
          <w:szCs w:val="24"/>
        </w:rPr>
        <w:t>Halosulfuron</w:t>
      </w:r>
      <w:proofErr w:type="spellEnd"/>
      <w:r w:rsidRPr="00E46B91">
        <w:rPr>
          <w:rFonts w:ascii="Arial" w:hAnsi="Arial" w:cs="Arial"/>
          <w:color w:val="000000" w:themeColor="text1"/>
          <w:sz w:val="24"/>
          <w:szCs w:val="24"/>
        </w:rPr>
        <w:t xml:space="preserve"> trials effect on direct seeded broccoli (Brassica </w:t>
      </w:r>
      <w:proofErr w:type="spellStart"/>
      <w:r w:rsidRPr="00E46B91">
        <w:rPr>
          <w:rFonts w:ascii="Arial" w:hAnsi="Arial" w:cs="Arial"/>
          <w:color w:val="000000" w:themeColor="text1"/>
          <w:sz w:val="24"/>
          <w:szCs w:val="24"/>
        </w:rPr>
        <w:t>oleracea</w:t>
      </w:r>
      <w:proofErr w:type="spellEnd"/>
      <w:r w:rsidRPr="00E46B91">
        <w:rPr>
          <w:rFonts w:ascii="Arial" w:hAnsi="Arial" w:cs="Arial"/>
          <w:color w:val="000000" w:themeColor="text1"/>
          <w:sz w:val="24"/>
          <w:szCs w:val="24"/>
        </w:rPr>
        <w:t xml:space="preserve"> </w:t>
      </w:r>
      <w:proofErr w:type="spellStart"/>
      <w:r w:rsidRPr="00E46B91">
        <w:rPr>
          <w:rFonts w:ascii="Arial" w:hAnsi="Arial" w:cs="Arial"/>
          <w:color w:val="000000" w:themeColor="text1"/>
          <w:sz w:val="24"/>
          <w:szCs w:val="24"/>
        </w:rPr>
        <w:t>var.cymosa</w:t>
      </w:r>
      <w:proofErr w:type="spellEnd"/>
      <w:r w:rsidRPr="00E46B91">
        <w:rPr>
          <w:rFonts w:ascii="Arial" w:hAnsi="Arial" w:cs="Arial"/>
          <w:color w:val="000000" w:themeColor="text1"/>
          <w:sz w:val="24"/>
          <w:szCs w:val="24"/>
        </w:rPr>
        <w:t xml:space="preserve">) Hybrids in a fully automated Greenhouse at the College of Agriculture and Environmental Sciences, University of South Africa (UNISA) Florida Science Campus Horticultural Centre. The coordinates are latitude: S26o 9.501 and Longitude: E27o 54.113, Florida is in Johannesburg, Gauteng province, South Africa.  Temperatures ranged between 18 and 30 °C, supplemental lighting was not provided, and humidity was increased from ambient by an evaporative cooling system. The temperature in the greenhouse was set to a 28°/18°C day/night temperature </w:t>
      </w:r>
      <w:proofErr w:type="spellStart"/>
      <w:r w:rsidRPr="00E46B91">
        <w:rPr>
          <w:rFonts w:ascii="Arial" w:hAnsi="Arial" w:cs="Arial"/>
          <w:color w:val="000000" w:themeColor="text1"/>
          <w:sz w:val="24"/>
          <w:szCs w:val="24"/>
        </w:rPr>
        <w:t>regime.</w:t>
      </w:r>
      <w:proofErr w:type="spellEnd"/>
    </w:p>
    <w:p w:rsidR="00EC27A7" w:rsidRDefault="00EC27A7" w:rsidP="00E46B91">
      <w:pPr>
        <w:spacing w:line="360" w:lineRule="auto"/>
        <w:jc w:val="both"/>
        <w:rPr>
          <w:rFonts w:ascii="Arial" w:hAnsi="Arial" w:cs="Arial"/>
          <w:b/>
          <w:color w:val="000000" w:themeColor="text1"/>
          <w:sz w:val="24"/>
          <w:szCs w:val="24"/>
        </w:rPr>
      </w:pPr>
      <w:r w:rsidRPr="0028274B">
        <w:rPr>
          <w:rFonts w:ascii="Arial" w:hAnsi="Arial" w:cs="Arial"/>
          <w:b/>
          <w:color w:val="000000" w:themeColor="text1"/>
          <w:sz w:val="24"/>
          <w:szCs w:val="24"/>
        </w:rPr>
        <w:t>Experimental Design</w:t>
      </w:r>
    </w:p>
    <w:p w:rsidR="00E46B91" w:rsidRPr="00E46B91" w:rsidRDefault="00E46B91" w:rsidP="00E46B91">
      <w:pPr>
        <w:spacing w:line="360" w:lineRule="auto"/>
        <w:jc w:val="both"/>
        <w:rPr>
          <w:rFonts w:ascii="Arial" w:hAnsi="Arial" w:cs="Arial"/>
          <w:color w:val="000000" w:themeColor="text1"/>
          <w:sz w:val="24"/>
          <w:szCs w:val="24"/>
        </w:rPr>
      </w:pPr>
      <w:r w:rsidRPr="00E46B91">
        <w:rPr>
          <w:rFonts w:ascii="Arial" w:hAnsi="Arial" w:cs="Arial"/>
          <w:color w:val="000000" w:themeColor="text1"/>
          <w:sz w:val="24"/>
          <w:szCs w:val="24"/>
        </w:rPr>
        <w:t>Randomized Complete Block Design in accordance with Gomez &amp; Gomez (1984) is the design chosen because the trial was a single factor experiment that was conducted in pots with 3 replications in a fully automated Greenhouse. Eight (8) different treatments (levels) per herbicide will be employed during one (01) growing season. In order to reduce the chances of experiencing an experimental error, the researcher employed experimental homogeneity factors constant by maintaining uniformity in irrigation distribution.</w:t>
      </w:r>
    </w:p>
    <w:p w:rsidR="00EC27A7" w:rsidRDefault="00EC27A7" w:rsidP="00986959">
      <w:pPr>
        <w:spacing w:line="240" w:lineRule="auto"/>
        <w:rPr>
          <w:rFonts w:ascii="Arial" w:hAnsi="Arial" w:cs="Arial"/>
          <w:b/>
          <w:color w:val="000000" w:themeColor="text1"/>
          <w:sz w:val="24"/>
          <w:szCs w:val="24"/>
        </w:rPr>
      </w:pPr>
      <w:r w:rsidRPr="0028274B">
        <w:rPr>
          <w:rFonts w:ascii="Arial" w:hAnsi="Arial" w:cs="Arial"/>
          <w:b/>
          <w:color w:val="000000" w:themeColor="text1"/>
          <w:sz w:val="24"/>
          <w:szCs w:val="24"/>
        </w:rPr>
        <w:t>DATA COLLECTION AND ANALYSIS.</w:t>
      </w:r>
    </w:p>
    <w:p w:rsidR="00B716CF" w:rsidRDefault="00B716CF" w:rsidP="00986959">
      <w:pPr>
        <w:spacing w:line="240" w:lineRule="auto"/>
        <w:jc w:val="both"/>
        <w:rPr>
          <w:rFonts w:ascii="Arial" w:hAnsi="Arial" w:cs="Arial"/>
          <w:bCs/>
          <w:color w:val="000000" w:themeColor="text1"/>
          <w:sz w:val="24"/>
          <w:szCs w:val="24"/>
          <w:lang w:val="en-US"/>
        </w:rPr>
      </w:pPr>
      <w:r w:rsidRPr="00075869">
        <w:rPr>
          <w:rFonts w:ascii="Arial" w:hAnsi="Arial" w:cs="Arial"/>
          <w:bCs/>
          <w:color w:val="000000" w:themeColor="text1"/>
          <w:sz w:val="24"/>
          <w:szCs w:val="24"/>
          <w:lang w:val="en-US"/>
        </w:rPr>
        <w:t>Critical representative Plant Growth Parameters of broccoli including percentage Emergence, Plant Height, Stunt Count among populations of broccoli plants, Crop injury as represented by Leaf Injury, Root length, and Necrosis percentage.</w:t>
      </w:r>
    </w:p>
    <w:p w:rsidR="00986959" w:rsidRPr="00075869" w:rsidRDefault="00986959" w:rsidP="00986959">
      <w:pPr>
        <w:spacing w:line="240" w:lineRule="auto"/>
        <w:jc w:val="both"/>
        <w:rPr>
          <w:rFonts w:ascii="Arial" w:hAnsi="Arial" w:cs="Arial"/>
          <w:bCs/>
          <w:color w:val="000000" w:themeColor="text1"/>
          <w:sz w:val="24"/>
          <w:szCs w:val="24"/>
          <w:lang w:val="en-US"/>
        </w:rPr>
      </w:pPr>
    </w:p>
    <w:p w:rsidR="00B716CF" w:rsidRPr="0028274B" w:rsidRDefault="00B716CF" w:rsidP="00B716CF">
      <w:pPr>
        <w:spacing w:line="240" w:lineRule="auto"/>
        <w:rPr>
          <w:rFonts w:ascii="Arial" w:hAnsi="Arial" w:cs="Arial"/>
          <w:bCs/>
          <w:color w:val="000000" w:themeColor="text1"/>
          <w:sz w:val="24"/>
          <w:szCs w:val="24"/>
          <w:lang w:val="en-US"/>
        </w:rPr>
      </w:pPr>
      <w:r w:rsidRPr="006D0280">
        <w:rPr>
          <w:rFonts w:ascii="Arial" w:hAnsi="Arial" w:cs="Arial"/>
          <w:b/>
          <w:bCs/>
          <w:color w:val="000000" w:themeColor="text1"/>
          <w:sz w:val="24"/>
          <w:szCs w:val="24"/>
          <w:lang w:val="en-US"/>
        </w:rPr>
        <w:t>Table 1:</w:t>
      </w:r>
      <w:r>
        <w:rPr>
          <w:rFonts w:ascii="Arial" w:hAnsi="Arial" w:cs="Arial"/>
          <w:bCs/>
          <w:color w:val="000000" w:themeColor="text1"/>
          <w:sz w:val="24"/>
          <w:szCs w:val="24"/>
          <w:lang w:val="en-US"/>
        </w:rPr>
        <w:t xml:space="preserve"> Growth characteristics parameters measured for the four different herbicides</w:t>
      </w:r>
    </w:p>
    <w:tbl>
      <w:tblPr>
        <w:tblStyle w:val="TableGrid"/>
        <w:tblW w:w="9979" w:type="dxa"/>
        <w:tblLook w:val="04A0" w:firstRow="1" w:lastRow="0" w:firstColumn="1" w:lastColumn="0" w:noHBand="0" w:noVBand="1"/>
      </w:tblPr>
      <w:tblGrid>
        <w:gridCol w:w="1995"/>
        <w:gridCol w:w="1995"/>
        <w:gridCol w:w="1995"/>
        <w:gridCol w:w="1995"/>
        <w:gridCol w:w="1999"/>
      </w:tblGrid>
      <w:tr w:rsidR="00B716CF" w:rsidTr="00CA7CC3">
        <w:trPr>
          <w:trHeight w:val="491"/>
        </w:trPr>
        <w:tc>
          <w:tcPr>
            <w:tcW w:w="1995" w:type="dxa"/>
          </w:tcPr>
          <w:p w:rsidR="00B716CF" w:rsidRDefault="00B716CF" w:rsidP="00CA7CC3">
            <w:pPr>
              <w:spacing w:line="360" w:lineRule="auto"/>
              <w:rPr>
                <w:rFonts w:ascii="Arial" w:hAnsi="Arial" w:cs="Arial"/>
                <w:color w:val="000000" w:themeColor="text1"/>
                <w:sz w:val="24"/>
                <w:szCs w:val="24"/>
              </w:rPr>
            </w:pPr>
            <w:r>
              <w:rPr>
                <w:rFonts w:ascii="Arial" w:hAnsi="Arial" w:cs="Arial"/>
                <w:color w:val="000000" w:themeColor="text1"/>
                <w:sz w:val="24"/>
                <w:szCs w:val="24"/>
              </w:rPr>
              <w:t>Herbicides</w:t>
            </w:r>
          </w:p>
        </w:tc>
        <w:tc>
          <w:tcPr>
            <w:tcW w:w="1995" w:type="dxa"/>
          </w:tcPr>
          <w:p w:rsidR="00B716CF" w:rsidRDefault="007E4EDF" w:rsidP="00CA7CC3">
            <w:pPr>
              <w:spacing w:line="360" w:lineRule="auto"/>
              <w:rPr>
                <w:rFonts w:ascii="Arial" w:hAnsi="Arial" w:cs="Arial"/>
                <w:color w:val="000000" w:themeColor="text1"/>
                <w:sz w:val="24"/>
                <w:szCs w:val="24"/>
              </w:rPr>
            </w:pPr>
            <w:r>
              <w:rPr>
                <w:rFonts w:ascii="Arial" w:hAnsi="Arial" w:cs="Arial"/>
                <w:color w:val="000000" w:themeColor="text1"/>
                <w:sz w:val="24"/>
                <w:szCs w:val="24"/>
              </w:rPr>
              <w:t xml:space="preserve">Mean </w:t>
            </w:r>
            <w:proofErr w:type="gramStart"/>
            <w:r>
              <w:rPr>
                <w:rFonts w:ascii="Arial" w:hAnsi="Arial" w:cs="Arial"/>
                <w:color w:val="000000" w:themeColor="text1"/>
                <w:sz w:val="24"/>
                <w:szCs w:val="24"/>
              </w:rPr>
              <w:t>Emergence</w:t>
            </w:r>
            <w:r w:rsidR="00206A05">
              <w:rPr>
                <w:rFonts w:ascii="Arial" w:hAnsi="Arial" w:cs="Arial"/>
                <w:color w:val="000000" w:themeColor="text1"/>
                <w:sz w:val="24"/>
                <w:szCs w:val="24"/>
              </w:rPr>
              <w:t>(</w:t>
            </w:r>
            <w:proofErr w:type="gramEnd"/>
            <w:r w:rsidR="00B716CF">
              <w:rPr>
                <w:rFonts w:ascii="Arial" w:hAnsi="Arial" w:cs="Arial"/>
                <w:color w:val="000000" w:themeColor="text1"/>
                <w:sz w:val="24"/>
                <w:szCs w:val="24"/>
              </w:rPr>
              <w:t>%</w:t>
            </w:r>
            <w:r w:rsidR="00206A05">
              <w:rPr>
                <w:rFonts w:ascii="Arial" w:hAnsi="Arial" w:cs="Arial"/>
                <w:color w:val="000000" w:themeColor="text1"/>
                <w:sz w:val="24"/>
                <w:szCs w:val="24"/>
              </w:rPr>
              <w:t>)</w:t>
            </w:r>
          </w:p>
        </w:tc>
        <w:tc>
          <w:tcPr>
            <w:tcW w:w="1995" w:type="dxa"/>
          </w:tcPr>
          <w:p w:rsidR="00B716CF" w:rsidRDefault="00206A05" w:rsidP="00CA7CC3">
            <w:pPr>
              <w:spacing w:line="360" w:lineRule="auto"/>
              <w:rPr>
                <w:rFonts w:ascii="Arial" w:hAnsi="Arial" w:cs="Arial"/>
                <w:color w:val="000000" w:themeColor="text1"/>
                <w:sz w:val="24"/>
                <w:szCs w:val="24"/>
              </w:rPr>
            </w:pPr>
            <w:r>
              <w:rPr>
                <w:rFonts w:ascii="Arial" w:hAnsi="Arial" w:cs="Arial"/>
                <w:color w:val="000000" w:themeColor="text1"/>
                <w:sz w:val="24"/>
                <w:szCs w:val="24"/>
              </w:rPr>
              <w:t xml:space="preserve">Mean Leaf </w:t>
            </w:r>
            <w:r w:rsidR="00B716CF">
              <w:rPr>
                <w:rFonts w:ascii="Arial" w:hAnsi="Arial" w:cs="Arial"/>
                <w:color w:val="000000" w:themeColor="text1"/>
                <w:sz w:val="24"/>
                <w:szCs w:val="24"/>
              </w:rPr>
              <w:t xml:space="preserve">injury </w:t>
            </w:r>
            <w:r>
              <w:rPr>
                <w:rFonts w:ascii="Arial" w:hAnsi="Arial" w:cs="Arial"/>
                <w:color w:val="000000" w:themeColor="text1"/>
                <w:sz w:val="24"/>
                <w:szCs w:val="24"/>
              </w:rPr>
              <w:t>(</w:t>
            </w:r>
            <w:r w:rsidR="00B716CF">
              <w:rPr>
                <w:rFonts w:ascii="Arial" w:hAnsi="Arial" w:cs="Arial"/>
                <w:color w:val="000000" w:themeColor="text1"/>
                <w:sz w:val="24"/>
                <w:szCs w:val="24"/>
              </w:rPr>
              <w:t>%</w:t>
            </w:r>
            <w:r>
              <w:rPr>
                <w:rFonts w:ascii="Arial" w:hAnsi="Arial" w:cs="Arial"/>
                <w:color w:val="000000" w:themeColor="text1"/>
                <w:sz w:val="24"/>
                <w:szCs w:val="24"/>
              </w:rPr>
              <w:t>)</w:t>
            </w:r>
          </w:p>
        </w:tc>
        <w:tc>
          <w:tcPr>
            <w:tcW w:w="1995" w:type="dxa"/>
          </w:tcPr>
          <w:p w:rsidR="00B716CF" w:rsidRDefault="00B716CF" w:rsidP="00CA7CC3">
            <w:pPr>
              <w:spacing w:line="360" w:lineRule="auto"/>
              <w:rPr>
                <w:rFonts w:ascii="Arial" w:hAnsi="Arial" w:cs="Arial"/>
                <w:color w:val="000000" w:themeColor="text1"/>
                <w:sz w:val="24"/>
                <w:szCs w:val="24"/>
              </w:rPr>
            </w:pPr>
            <w:r>
              <w:rPr>
                <w:rFonts w:ascii="Arial" w:hAnsi="Arial" w:cs="Arial"/>
                <w:color w:val="000000" w:themeColor="text1"/>
                <w:sz w:val="24"/>
                <w:szCs w:val="24"/>
              </w:rPr>
              <w:t xml:space="preserve">Mean Necrotic </w:t>
            </w:r>
            <w:r w:rsidR="00206A05">
              <w:rPr>
                <w:rFonts w:ascii="Arial" w:hAnsi="Arial" w:cs="Arial"/>
                <w:color w:val="000000" w:themeColor="text1"/>
                <w:sz w:val="24"/>
                <w:szCs w:val="24"/>
              </w:rPr>
              <w:t>(</w:t>
            </w:r>
            <w:r>
              <w:rPr>
                <w:rFonts w:ascii="Arial" w:hAnsi="Arial" w:cs="Arial"/>
                <w:color w:val="000000" w:themeColor="text1"/>
                <w:sz w:val="24"/>
                <w:szCs w:val="24"/>
              </w:rPr>
              <w:t>%</w:t>
            </w:r>
            <w:r w:rsidR="00206A05">
              <w:rPr>
                <w:rFonts w:ascii="Arial" w:hAnsi="Arial" w:cs="Arial"/>
                <w:color w:val="000000" w:themeColor="text1"/>
                <w:sz w:val="24"/>
                <w:szCs w:val="24"/>
              </w:rPr>
              <w:t>)</w:t>
            </w:r>
          </w:p>
        </w:tc>
        <w:tc>
          <w:tcPr>
            <w:tcW w:w="1999" w:type="dxa"/>
          </w:tcPr>
          <w:p w:rsidR="00B716CF" w:rsidRDefault="00B716CF" w:rsidP="00CA7CC3">
            <w:pPr>
              <w:spacing w:line="360" w:lineRule="auto"/>
              <w:rPr>
                <w:rFonts w:ascii="Arial" w:hAnsi="Arial" w:cs="Arial"/>
                <w:color w:val="000000" w:themeColor="text1"/>
                <w:sz w:val="24"/>
                <w:szCs w:val="24"/>
              </w:rPr>
            </w:pPr>
            <w:r>
              <w:rPr>
                <w:rFonts w:ascii="Arial" w:hAnsi="Arial" w:cs="Arial"/>
                <w:color w:val="000000" w:themeColor="text1"/>
                <w:sz w:val="24"/>
                <w:szCs w:val="24"/>
              </w:rPr>
              <w:t>Mean Plant height (cm)</w:t>
            </w:r>
          </w:p>
        </w:tc>
      </w:tr>
      <w:tr w:rsidR="00B716CF" w:rsidTr="00CA7CC3">
        <w:trPr>
          <w:trHeight w:val="240"/>
        </w:trPr>
        <w:tc>
          <w:tcPr>
            <w:tcW w:w="1995" w:type="dxa"/>
          </w:tcPr>
          <w:p w:rsidR="00B716CF" w:rsidRDefault="00B716CF" w:rsidP="00CA7CC3">
            <w:pPr>
              <w:spacing w:line="360" w:lineRule="auto"/>
              <w:rPr>
                <w:rFonts w:ascii="Arial" w:hAnsi="Arial" w:cs="Arial"/>
                <w:color w:val="000000" w:themeColor="text1"/>
                <w:sz w:val="24"/>
                <w:szCs w:val="24"/>
              </w:rPr>
            </w:pPr>
            <w:proofErr w:type="spellStart"/>
            <w:r>
              <w:rPr>
                <w:rFonts w:ascii="Arial" w:hAnsi="Arial" w:cs="Arial"/>
                <w:color w:val="000000" w:themeColor="text1"/>
                <w:sz w:val="24"/>
                <w:szCs w:val="24"/>
              </w:rPr>
              <w:t>Metolachlor</w:t>
            </w:r>
            <w:proofErr w:type="spellEnd"/>
          </w:p>
        </w:tc>
        <w:tc>
          <w:tcPr>
            <w:tcW w:w="1995" w:type="dxa"/>
          </w:tcPr>
          <w:p w:rsidR="00B716CF" w:rsidRPr="00DA7C6F" w:rsidRDefault="007E4EDF" w:rsidP="00CA7CC3">
            <w:pPr>
              <w:spacing w:line="360" w:lineRule="auto"/>
              <w:rPr>
                <w:rFonts w:ascii="Arial" w:hAnsi="Arial" w:cs="Arial"/>
                <w:color w:val="000000" w:themeColor="text1"/>
                <w:sz w:val="24"/>
                <w:szCs w:val="24"/>
              </w:rPr>
            </w:pPr>
            <w:r w:rsidRPr="00DA7C6F">
              <w:rPr>
                <w:rFonts w:ascii="Arial" w:hAnsi="Arial" w:cs="Arial"/>
                <w:color w:val="000000" w:themeColor="text1"/>
                <w:sz w:val="24"/>
                <w:szCs w:val="24"/>
              </w:rPr>
              <w:t>97.50</w:t>
            </w:r>
          </w:p>
        </w:tc>
        <w:tc>
          <w:tcPr>
            <w:tcW w:w="1995" w:type="dxa"/>
          </w:tcPr>
          <w:p w:rsidR="00B716CF" w:rsidRDefault="00B716CF" w:rsidP="00CA7CC3">
            <w:pPr>
              <w:spacing w:line="360" w:lineRule="auto"/>
              <w:rPr>
                <w:rFonts w:ascii="Arial" w:hAnsi="Arial" w:cs="Arial"/>
                <w:color w:val="000000" w:themeColor="text1"/>
                <w:sz w:val="24"/>
                <w:szCs w:val="24"/>
              </w:rPr>
            </w:pPr>
            <w:r>
              <w:rPr>
                <w:rFonts w:ascii="Arial" w:hAnsi="Arial" w:cs="Arial"/>
                <w:color w:val="000000" w:themeColor="text1"/>
                <w:sz w:val="24"/>
                <w:szCs w:val="24"/>
              </w:rPr>
              <w:t>34.58</w:t>
            </w:r>
          </w:p>
        </w:tc>
        <w:tc>
          <w:tcPr>
            <w:tcW w:w="1995" w:type="dxa"/>
          </w:tcPr>
          <w:p w:rsidR="00B716CF" w:rsidRDefault="00B716CF" w:rsidP="00CA7CC3">
            <w:pPr>
              <w:spacing w:line="360" w:lineRule="auto"/>
              <w:rPr>
                <w:rFonts w:ascii="Arial" w:hAnsi="Arial" w:cs="Arial"/>
                <w:color w:val="000000" w:themeColor="text1"/>
                <w:sz w:val="24"/>
                <w:szCs w:val="24"/>
              </w:rPr>
            </w:pPr>
            <w:r>
              <w:rPr>
                <w:rFonts w:ascii="Arial" w:hAnsi="Arial" w:cs="Arial"/>
                <w:color w:val="000000" w:themeColor="text1"/>
                <w:sz w:val="24"/>
                <w:szCs w:val="24"/>
              </w:rPr>
              <w:t>40.42</w:t>
            </w:r>
          </w:p>
        </w:tc>
        <w:tc>
          <w:tcPr>
            <w:tcW w:w="1999" w:type="dxa"/>
          </w:tcPr>
          <w:p w:rsidR="00B716CF" w:rsidRDefault="00B716CF" w:rsidP="00CA7CC3">
            <w:pPr>
              <w:spacing w:line="360" w:lineRule="auto"/>
              <w:rPr>
                <w:rFonts w:ascii="Arial" w:hAnsi="Arial" w:cs="Arial"/>
                <w:color w:val="000000" w:themeColor="text1"/>
                <w:sz w:val="24"/>
                <w:szCs w:val="24"/>
              </w:rPr>
            </w:pPr>
            <w:r>
              <w:rPr>
                <w:rFonts w:ascii="Arial" w:hAnsi="Arial" w:cs="Arial"/>
                <w:color w:val="000000" w:themeColor="text1"/>
                <w:sz w:val="24"/>
                <w:szCs w:val="24"/>
              </w:rPr>
              <w:t>4.12</w:t>
            </w:r>
          </w:p>
        </w:tc>
      </w:tr>
      <w:tr w:rsidR="00B716CF" w:rsidTr="00CA7CC3">
        <w:trPr>
          <w:trHeight w:val="240"/>
        </w:trPr>
        <w:tc>
          <w:tcPr>
            <w:tcW w:w="1995" w:type="dxa"/>
          </w:tcPr>
          <w:p w:rsidR="00B716CF" w:rsidRDefault="00B716CF" w:rsidP="00CA7CC3">
            <w:pPr>
              <w:spacing w:line="360" w:lineRule="auto"/>
              <w:rPr>
                <w:rFonts w:ascii="Arial" w:hAnsi="Arial" w:cs="Arial"/>
                <w:color w:val="000000" w:themeColor="text1"/>
                <w:sz w:val="24"/>
                <w:szCs w:val="24"/>
              </w:rPr>
            </w:pPr>
            <w:proofErr w:type="spellStart"/>
            <w:r>
              <w:rPr>
                <w:rFonts w:ascii="Arial" w:hAnsi="Arial" w:cs="Arial"/>
                <w:color w:val="000000" w:themeColor="text1"/>
                <w:sz w:val="24"/>
                <w:szCs w:val="24"/>
              </w:rPr>
              <w:t>Clomazone</w:t>
            </w:r>
            <w:proofErr w:type="spellEnd"/>
          </w:p>
        </w:tc>
        <w:tc>
          <w:tcPr>
            <w:tcW w:w="1995" w:type="dxa"/>
          </w:tcPr>
          <w:p w:rsidR="00B716CF" w:rsidRPr="00DA7C6F" w:rsidRDefault="007E4EDF" w:rsidP="00CA7CC3">
            <w:pPr>
              <w:spacing w:line="360" w:lineRule="auto"/>
              <w:rPr>
                <w:rFonts w:ascii="Arial" w:hAnsi="Arial" w:cs="Arial"/>
                <w:color w:val="000000" w:themeColor="text1"/>
                <w:sz w:val="24"/>
                <w:szCs w:val="24"/>
              </w:rPr>
            </w:pPr>
            <w:r w:rsidRPr="00DA7C6F">
              <w:rPr>
                <w:rFonts w:ascii="Arial" w:hAnsi="Arial" w:cs="Arial"/>
                <w:color w:val="000000" w:themeColor="text1"/>
                <w:sz w:val="24"/>
                <w:szCs w:val="24"/>
              </w:rPr>
              <w:t>75.00</w:t>
            </w:r>
          </w:p>
        </w:tc>
        <w:tc>
          <w:tcPr>
            <w:tcW w:w="1995" w:type="dxa"/>
          </w:tcPr>
          <w:p w:rsidR="00B716CF" w:rsidRDefault="00B716CF" w:rsidP="00CA7CC3">
            <w:pPr>
              <w:spacing w:line="360" w:lineRule="auto"/>
              <w:rPr>
                <w:rFonts w:ascii="Arial" w:hAnsi="Arial" w:cs="Arial"/>
                <w:color w:val="000000" w:themeColor="text1"/>
                <w:sz w:val="24"/>
                <w:szCs w:val="24"/>
              </w:rPr>
            </w:pPr>
            <w:r>
              <w:rPr>
                <w:rFonts w:ascii="Arial" w:hAnsi="Arial" w:cs="Arial"/>
                <w:color w:val="000000" w:themeColor="text1"/>
                <w:sz w:val="24"/>
                <w:szCs w:val="24"/>
              </w:rPr>
              <w:t>35.42</w:t>
            </w:r>
          </w:p>
        </w:tc>
        <w:tc>
          <w:tcPr>
            <w:tcW w:w="1995" w:type="dxa"/>
          </w:tcPr>
          <w:p w:rsidR="00B716CF" w:rsidRDefault="00B716CF" w:rsidP="00CA7CC3">
            <w:pPr>
              <w:spacing w:line="360" w:lineRule="auto"/>
              <w:rPr>
                <w:rFonts w:ascii="Arial" w:hAnsi="Arial" w:cs="Arial"/>
                <w:color w:val="000000" w:themeColor="text1"/>
                <w:sz w:val="24"/>
                <w:szCs w:val="24"/>
              </w:rPr>
            </w:pPr>
            <w:r>
              <w:rPr>
                <w:rFonts w:ascii="Arial" w:hAnsi="Arial" w:cs="Arial"/>
                <w:color w:val="000000" w:themeColor="text1"/>
                <w:sz w:val="24"/>
                <w:szCs w:val="24"/>
              </w:rPr>
              <w:t>56.25</w:t>
            </w:r>
          </w:p>
        </w:tc>
        <w:tc>
          <w:tcPr>
            <w:tcW w:w="1999" w:type="dxa"/>
          </w:tcPr>
          <w:p w:rsidR="00B716CF" w:rsidRDefault="00B716CF" w:rsidP="00CA7CC3">
            <w:pPr>
              <w:spacing w:line="360" w:lineRule="auto"/>
              <w:rPr>
                <w:rFonts w:ascii="Arial" w:hAnsi="Arial" w:cs="Arial"/>
                <w:color w:val="000000" w:themeColor="text1"/>
                <w:sz w:val="24"/>
                <w:szCs w:val="24"/>
              </w:rPr>
            </w:pPr>
            <w:r>
              <w:rPr>
                <w:rFonts w:ascii="Arial" w:hAnsi="Arial" w:cs="Arial"/>
                <w:color w:val="000000" w:themeColor="text1"/>
                <w:sz w:val="24"/>
                <w:szCs w:val="24"/>
              </w:rPr>
              <w:t>3.90</w:t>
            </w:r>
          </w:p>
        </w:tc>
      </w:tr>
      <w:tr w:rsidR="00B716CF" w:rsidTr="00CA7CC3">
        <w:trPr>
          <w:trHeight w:val="249"/>
        </w:trPr>
        <w:tc>
          <w:tcPr>
            <w:tcW w:w="1995" w:type="dxa"/>
          </w:tcPr>
          <w:p w:rsidR="00B716CF" w:rsidRDefault="00B716CF" w:rsidP="00CA7CC3">
            <w:pPr>
              <w:spacing w:line="360" w:lineRule="auto"/>
              <w:rPr>
                <w:rFonts w:ascii="Arial" w:hAnsi="Arial" w:cs="Arial"/>
                <w:color w:val="000000" w:themeColor="text1"/>
                <w:sz w:val="24"/>
                <w:szCs w:val="24"/>
              </w:rPr>
            </w:pPr>
            <w:proofErr w:type="spellStart"/>
            <w:r>
              <w:rPr>
                <w:rFonts w:ascii="Arial" w:hAnsi="Arial" w:cs="Arial"/>
                <w:color w:val="000000" w:themeColor="text1"/>
                <w:sz w:val="24"/>
                <w:szCs w:val="24"/>
              </w:rPr>
              <w:t>Halosulfuron</w:t>
            </w:r>
            <w:proofErr w:type="spellEnd"/>
          </w:p>
        </w:tc>
        <w:tc>
          <w:tcPr>
            <w:tcW w:w="1995" w:type="dxa"/>
          </w:tcPr>
          <w:p w:rsidR="00B716CF" w:rsidRPr="00DA7C6F" w:rsidRDefault="007E4EDF" w:rsidP="00CA7CC3">
            <w:pPr>
              <w:spacing w:line="360" w:lineRule="auto"/>
              <w:rPr>
                <w:rFonts w:ascii="Arial" w:hAnsi="Arial" w:cs="Arial"/>
                <w:color w:val="000000" w:themeColor="text1"/>
                <w:sz w:val="24"/>
                <w:szCs w:val="24"/>
              </w:rPr>
            </w:pPr>
            <w:r w:rsidRPr="00DA7C6F">
              <w:rPr>
                <w:rFonts w:ascii="Arial" w:hAnsi="Arial" w:cs="Arial"/>
                <w:color w:val="000000" w:themeColor="text1"/>
                <w:sz w:val="24"/>
                <w:szCs w:val="24"/>
              </w:rPr>
              <w:t>95.42</w:t>
            </w:r>
          </w:p>
        </w:tc>
        <w:tc>
          <w:tcPr>
            <w:tcW w:w="1995" w:type="dxa"/>
          </w:tcPr>
          <w:p w:rsidR="00B716CF" w:rsidRDefault="00B716CF" w:rsidP="00CA7CC3">
            <w:pPr>
              <w:spacing w:line="360" w:lineRule="auto"/>
              <w:rPr>
                <w:rFonts w:ascii="Arial" w:hAnsi="Arial" w:cs="Arial"/>
                <w:color w:val="000000" w:themeColor="text1"/>
                <w:sz w:val="24"/>
                <w:szCs w:val="24"/>
              </w:rPr>
            </w:pPr>
            <w:r>
              <w:rPr>
                <w:rFonts w:ascii="Arial" w:hAnsi="Arial" w:cs="Arial"/>
                <w:color w:val="000000" w:themeColor="text1"/>
                <w:sz w:val="24"/>
                <w:szCs w:val="24"/>
              </w:rPr>
              <w:t>10.42</w:t>
            </w:r>
          </w:p>
        </w:tc>
        <w:tc>
          <w:tcPr>
            <w:tcW w:w="1995" w:type="dxa"/>
          </w:tcPr>
          <w:p w:rsidR="00B716CF" w:rsidRDefault="00B716CF" w:rsidP="00CA7CC3">
            <w:pPr>
              <w:spacing w:line="360" w:lineRule="auto"/>
              <w:rPr>
                <w:rFonts w:ascii="Arial" w:hAnsi="Arial" w:cs="Arial"/>
                <w:color w:val="000000" w:themeColor="text1"/>
                <w:sz w:val="24"/>
                <w:szCs w:val="24"/>
              </w:rPr>
            </w:pPr>
            <w:r>
              <w:rPr>
                <w:rFonts w:ascii="Arial" w:hAnsi="Arial" w:cs="Arial"/>
                <w:color w:val="000000" w:themeColor="text1"/>
                <w:sz w:val="24"/>
                <w:szCs w:val="24"/>
              </w:rPr>
              <w:t>10.83</w:t>
            </w:r>
          </w:p>
        </w:tc>
        <w:tc>
          <w:tcPr>
            <w:tcW w:w="1999" w:type="dxa"/>
          </w:tcPr>
          <w:p w:rsidR="00B716CF" w:rsidRDefault="00B716CF" w:rsidP="00CA7CC3">
            <w:pPr>
              <w:spacing w:line="360" w:lineRule="auto"/>
              <w:rPr>
                <w:rFonts w:ascii="Arial" w:hAnsi="Arial" w:cs="Arial"/>
                <w:color w:val="000000" w:themeColor="text1"/>
                <w:sz w:val="24"/>
                <w:szCs w:val="24"/>
              </w:rPr>
            </w:pPr>
            <w:r>
              <w:rPr>
                <w:rFonts w:ascii="Arial" w:hAnsi="Arial" w:cs="Arial"/>
                <w:color w:val="000000" w:themeColor="text1"/>
                <w:sz w:val="24"/>
                <w:szCs w:val="24"/>
              </w:rPr>
              <w:t>8.07</w:t>
            </w:r>
          </w:p>
        </w:tc>
      </w:tr>
      <w:tr w:rsidR="00B716CF" w:rsidTr="00CA7CC3">
        <w:trPr>
          <w:trHeight w:val="240"/>
        </w:trPr>
        <w:tc>
          <w:tcPr>
            <w:tcW w:w="1995" w:type="dxa"/>
          </w:tcPr>
          <w:p w:rsidR="00B716CF" w:rsidRDefault="00B716CF" w:rsidP="00CA7CC3">
            <w:pPr>
              <w:spacing w:line="360" w:lineRule="auto"/>
              <w:rPr>
                <w:rFonts w:ascii="Arial" w:hAnsi="Arial" w:cs="Arial"/>
                <w:color w:val="000000" w:themeColor="text1"/>
                <w:sz w:val="24"/>
                <w:szCs w:val="24"/>
              </w:rPr>
            </w:pPr>
            <w:proofErr w:type="spellStart"/>
            <w:r>
              <w:rPr>
                <w:rFonts w:ascii="Arial" w:hAnsi="Arial" w:cs="Arial"/>
                <w:color w:val="000000" w:themeColor="text1"/>
                <w:sz w:val="24"/>
                <w:szCs w:val="24"/>
              </w:rPr>
              <w:t>Oxadiazon</w:t>
            </w:r>
            <w:proofErr w:type="spellEnd"/>
          </w:p>
        </w:tc>
        <w:tc>
          <w:tcPr>
            <w:tcW w:w="1995" w:type="dxa"/>
          </w:tcPr>
          <w:p w:rsidR="00B716CF" w:rsidRPr="00DA7C6F" w:rsidRDefault="007E4EDF" w:rsidP="00CA7CC3">
            <w:pPr>
              <w:spacing w:line="360" w:lineRule="auto"/>
              <w:rPr>
                <w:rFonts w:ascii="Arial" w:hAnsi="Arial" w:cs="Arial"/>
                <w:color w:val="000000" w:themeColor="text1"/>
                <w:sz w:val="24"/>
                <w:szCs w:val="24"/>
              </w:rPr>
            </w:pPr>
            <w:r w:rsidRPr="00DA7C6F">
              <w:rPr>
                <w:rFonts w:ascii="Arial" w:hAnsi="Arial" w:cs="Arial"/>
                <w:color w:val="000000" w:themeColor="text1"/>
                <w:sz w:val="24"/>
                <w:szCs w:val="24"/>
              </w:rPr>
              <w:t>72.08</w:t>
            </w:r>
          </w:p>
        </w:tc>
        <w:tc>
          <w:tcPr>
            <w:tcW w:w="1995" w:type="dxa"/>
          </w:tcPr>
          <w:p w:rsidR="00B716CF" w:rsidRDefault="00B716CF" w:rsidP="00CA7CC3">
            <w:pPr>
              <w:spacing w:line="360" w:lineRule="auto"/>
              <w:rPr>
                <w:rFonts w:ascii="Arial" w:hAnsi="Arial" w:cs="Arial"/>
                <w:color w:val="000000" w:themeColor="text1"/>
                <w:sz w:val="24"/>
                <w:szCs w:val="24"/>
              </w:rPr>
            </w:pPr>
            <w:r>
              <w:rPr>
                <w:rFonts w:ascii="Arial" w:hAnsi="Arial" w:cs="Arial"/>
                <w:color w:val="000000" w:themeColor="text1"/>
                <w:sz w:val="24"/>
                <w:szCs w:val="24"/>
              </w:rPr>
              <w:t>47.92</w:t>
            </w:r>
          </w:p>
        </w:tc>
        <w:tc>
          <w:tcPr>
            <w:tcW w:w="1995" w:type="dxa"/>
          </w:tcPr>
          <w:p w:rsidR="00B716CF" w:rsidRDefault="00B716CF" w:rsidP="00CA7CC3">
            <w:pPr>
              <w:spacing w:line="360" w:lineRule="auto"/>
              <w:rPr>
                <w:rFonts w:ascii="Arial" w:hAnsi="Arial" w:cs="Arial"/>
                <w:color w:val="000000" w:themeColor="text1"/>
                <w:sz w:val="24"/>
                <w:szCs w:val="24"/>
              </w:rPr>
            </w:pPr>
            <w:r>
              <w:rPr>
                <w:rFonts w:ascii="Arial" w:hAnsi="Arial" w:cs="Arial"/>
                <w:color w:val="000000" w:themeColor="text1"/>
                <w:sz w:val="24"/>
                <w:szCs w:val="24"/>
              </w:rPr>
              <w:t>65.42</w:t>
            </w:r>
          </w:p>
        </w:tc>
        <w:tc>
          <w:tcPr>
            <w:tcW w:w="1999" w:type="dxa"/>
          </w:tcPr>
          <w:p w:rsidR="00B716CF" w:rsidRDefault="00B716CF" w:rsidP="00CA7CC3">
            <w:pPr>
              <w:spacing w:line="360" w:lineRule="auto"/>
              <w:rPr>
                <w:rFonts w:ascii="Arial" w:hAnsi="Arial" w:cs="Arial"/>
                <w:color w:val="000000" w:themeColor="text1"/>
                <w:sz w:val="24"/>
                <w:szCs w:val="24"/>
              </w:rPr>
            </w:pPr>
            <w:r>
              <w:rPr>
                <w:rFonts w:ascii="Arial" w:hAnsi="Arial" w:cs="Arial"/>
                <w:color w:val="000000" w:themeColor="text1"/>
                <w:sz w:val="24"/>
                <w:szCs w:val="24"/>
              </w:rPr>
              <w:t>2.44</w:t>
            </w:r>
          </w:p>
        </w:tc>
      </w:tr>
    </w:tbl>
    <w:p w:rsidR="00B716CF" w:rsidRDefault="00B716CF" w:rsidP="00EC27A7">
      <w:pPr>
        <w:spacing w:line="360" w:lineRule="auto"/>
        <w:rPr>
          <w:rFonts w:ascii="Arial" w:hAnsi="Arial" w:cs="Arial"/>
          <w:color w:val="000000" w:themeColor="text1"/>
          <w:sz w:val="24"/>
          <w:szCs w:val="24"/>
        </w:rPr>
      </w:pPr>
      <w:r w:rsidRPr="006D0280">
        <w:rPr>
          <w:rFonts w:ascii="Arial" w:hAnsi="Arial" w:cs="Arial"/>
          <w:color w:val="000000" w:themeColor="text1"/>
          <w:sz w:val="24"/>
          <w:szCs w:val="24"/>
        </w:rPr>
        <w:t>Means obtained for the different application rates for the four herbicides</w:t>
      </w:r>
      <w:r w:rsidR="005B52B2">
        <w:rPr>
          <w:rFonts w:ascii="Arial" w:hAnsi="Arial" w:cs="Arial"/>
          <w:color w:val="000000" w:themeColor="text1"/>
          <w:sz w:val="24"/>
          <w:szCs w:val="24"/>
        </w:rPr>
        <w:t>.</w:t>
      </w:r>
    </w:p>
    <w:p w:rsidR="005B52B2" w:rsidRDefault="00DA7C6F" w:rsidP="00EC27A7">
      <w:pPr>
        <w:spacing w:line="360" w:lineRule="auto"/>
        <w:rPr>
          <w:rFonts w:ascii="Arial" w:hAnsi="Arial" w:cs="Arial"/>
          <w:color w:val="000000" w:themeColor="text1"/>
          <w:sz w:val="24"/>
          <w:szCs w:val="24"/>
        </w:rPr>
      </w:pPr>
      <w:r>
        <w:rPr>
          <w:noProof/>
          <w:lang w:eastAsia="en-ZA"/>
        </w:rPr>
        <w:lastRenderedPageBreak/>
        <w:drawing>
          <wp:inline distT="0" distB="0" distL="0" distR="0" wp14:anchorId="40384208" wp14:editId="3550FD52">
            <wp:extent cx="4572000" cy="27432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5B52B2" w:rsidRDefault="005B52B2" w:rsidP="005B52B2">
      <w:pPr>
        <w:spacing w:after="0" w:line="240" w:lineRule="auto"/>
        <w:rPr>
          <w:rFonts w:ascii="Arial" w:hAnsi="Arial" w:cs="Arial"/>
          <w:color w:val="000000" w:themeColor="text1"/>
          <w:sz w:val="24"/>
          <w:szCs w:val="24"/>
        </w:rPr>
      </w:pPr>
      <w:r w:rsidRPr="006D0280">
        <w:rPr>
          <w:rFonts w:ascii="Arial" w:hAnsi="Arial" w:cs="Arial"/>
          <w:b/>
          <w:color w:val="000000" w:themeColor="text1"/>
          <w:sz w:val="24"/>
          <w:szCs w:val="24"/>
        </w:rPr>
        <w:t>Figure 1:</w:t>
      </w:r>
      <w:r w:rsidRPr="006D0280">
        <w:rPr>
          <w:rFonts w:ascii="Arial" w:hAnsi="Arial" w:cs="Arial"/>
          <w:color w:val="000000" w:themeColor="text1"/>
          <w:sz w:val="24"/>
          <w:szCs w:val="24"/>
        </w:rPr>
        <w:t xml:space="preserve"> The </w:t>
      </w:r>
      <w:r>
        <w:rPr>
          <w:rFonts w:ascii="Arial" w:hAnsi="Arial" w:cs="Arial"/>
          <w:color w:val="000000" w:themeColor="text1"/>
          <w:sz w:val="24"/>
          <w:szCs w:val="24"/>
        </w:rPr>
        <w:t>graph indi</w:t>
      </w:r>
      <w:r w:rsidR="00DA7C6F">
        <w:rPr>
          <w:rFonts w:ascii="Arial" w:hAnsi="Arial" w:cs="Arial"/>
          <w:color w:val="000000" w:themeColor="text1"/>
          <w:sz w:val="24"/>
          <w:szCs w:val="24"/>
        </w:rPr>
        <w:t>cating the different Emergence</w:t>
      </w:r>
      <w:r>
        <w:rPr>
          <w:rFonts w:ascii="Arial" w:hAnsi="Arial" w:cs="Arial"/>
          <w:color w:val="000000" w:themeColor="text1"/>
          <w:sz w:val="24"/>
          <w:szCs w:val="24"/>
        </w:rPr>
        <w:t xml:space="preserve"> percentage for the herbicides applied (</w:t>
      </w:r>
      <w:proofErr w:type="spellStart"/>
      <w:r>
        <w:rPr>
          <w:rFonts w:ascii="Arial" w:hAnsi="Arial" w:cs="Arial"/>
          <w:color w:val="000000" w:themeColor="text1"/>
          <w:sz w:val="24"/>
          <w:szCs w:val="24"/>
        </w:rPr>
        <w:t>Metolachlor</w:t>
      </w:r>
      <w:proofErr w:type="spellEnd"/>
      <w:r>
        <w:rPr>
          <w:rFonts w:ascii="Arial" w:hAnsi="Arial" w:cs="Arial"/>
          <w:color w:val="000000" w:themeColor="text1"/>
          <w:sz w:val="24"/>
          <w:szCs w:val="24"/>
        </w:rPr>
        <w:t xml:space="preserve">, </w:t>
      </w:r>
      <w:proofErr w:type="spellStart"/>
      <w:r>
        <w:rPr>
          <w:rFonts w:ascii="Arial" w:hAnsi="Arial" w:cs="Arial"/>
          <w:color w:val="000000" w:themeColor="text1"/>
          <w:sz w:val="24"/>
          <w:szCs w:val="24"/>
        </w:rPr>
        <w:t>Clomazone</w:t>
      </w:r>
      <w:proofErr w:type="spellEnd"/>
      <w:r>
        <w:rPr>
          <w:rFonts w:ascii="Arial" w:hAnsi="Arial" w:cs="Arial"/>
          <w:color w:val="000000" w:themeColor="text1"/>
          <w:sz w:val="24"/>
          <w:szCs w:val="24"/>
        </w:rPr>
        <w:t xml:space="preserve">, </w:t>
      </w:r>
      <w:proofErr w:type="spellStart"/>
      <w:r>
        <w:rPr>
          <w:rFonts w:ascii="Arial" w:hAnsi="Arial" w:cs="Arial"/>
          <w:color w:val="000000" w:themeColor="text1"/>
          <w:sz w:val="24"/>
          <w:szCs w:val="24"/>
        </w:rPr>
        <w:t>Halosulfuron</w:t>
      </w:r>
      <w:proofErr w:type="spellEnd"/>
      <w:r>
        <w:rPr>
          <w:rFonts w:ascii="Arial" w:hAnsi="Arial" w:cs="Arial"/>
          <w:color w:val="000000" w:themeColor="text1"/>
          <w:sz w:val="24"/>
          <w:szCs w:val="24"/>
        </w:rPr>
        <w:t xml:space="preserve"> and </w:t>
      </w:r>
      <w:proofErr w:type="spellStart"/>
      <w:r>
        <w:rPr>
          <w:rFonts w:ascii="Arial" w:hAnsi="Arial" w:cs="Arial"/>
          <w:color w:val="000000" w:themeColor="text1"/>
          <w:sz w:val="24"/>
          <w:szCs w:val="24"/>
        </w:rPr>
        <w:t>Oxadiazon</w:t>
      </w:r>
      <w:proofErr w:type="spellEnd"/>
      <w:r>
        <w:rPr>
          <w:rFonts w:ascii="Arial" w:hAnsi="Arial" w:cs="Arial"/>
          <w:color w:val="000000" w:themeColor="text1"/>
          <w:sz w:val="24"/>
          <w:szCs w:val="24"/>
        </w:rPr>
        <w:t>).</w:t>
      </w:r>
    </w:p>
    <w:p w:rsidR="00DA7C6F" w:rsidRDefault="00DA7C6F" w:rsidP="005B52B2">
      <w:pPr>
        <w:spacing w:after="0" w:line="240" w:lineRule="auto"/>
        <w:rPr>
          <w:rFonts w:ascii="Arial" w:hAnsi="Arial" w:cs="Arial"/>
          <w:color w:val="000000" w:themeColor="text1"/>
          <w:sz w:val="24"/>
          <w:szCs w:val="24"/>
        </w:rPr>
      </w:pPr>
    </w:p>
    <w:p w:rsidR="00DA7C6F" w:rsidRDefault="00DA7C6F" w:rsidP="005B52B2">
      <w:pPr>
        <w:spacing w:after="0" w:line="240" w:lineRule="auto"/>
        <w:rPr>
          <w:rFonts w:ascii="Arial" w:hAnsi="Arial" w:cs="Arial"/>
          <w:color w:val="000000" w:themeColor="text1"/>
          <w:sz w:val="24"/>
          <w:szCs w:val="24"/>
        </w:rPr>
      </w:pPr>
      <w:r>
        <w:rPr>
          <w:noProof/>
          <w:lang w:eastAsia="en-ZA"/>
        </w:rPr>
        <w:drawing>
          <wp:inline distT="0" distB="0" distL="0" distR="0" wp14:anchorId="4FBB69BB" wp14:editId="5932214E">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5B52B2" w:rsidRDefault="005B52B2" w:rsidP="00EC27A7">
      <w:pPr>
        <w:spacing w:line="360" w:lineRule="auto"/>
        <w:rPr>
          <w:rFonts w:ascii="Arial" w:hAnsi="Arial" w:cs="Arial"/>
          <w:b/>
          <w:color w:val="000000" w:themeColor="text1"/>
          <w:sz w:val="24"/>
          <w:szCs w:val="24"/>
        </w:rPr>
      </w:pPr>
      <w:r>
        <w:rPr>
          <w:rFonts w:ascii="Arial" w:hAnsi="Arial" w:cs="Arial"/>
          <w:b/>
          <w:color w:val="000000" w:themeColor="text1"/>
          <w:sz w:val="24"/>
          <w:szCs w:val="24"/>
        </w:rPr>
        <w:t xml:space="preserve"> </w:t>
      </w:r>
    </w:p>
    <w:p w:rsidR="005B52B2" w:rsidRDefault="005B52B2" w:rsidP="005B52B2">
      <w:pPr>
        <w:spacing w:after="0" w:line="240" w:lineRule="auto"/>
        <w:rPr>
          <w:rFonts w:ascii="Arial" w:hAnsi="Arial" w:cs="Arial"/>
          <w:color w:val="000000" w:themeColor="text1"/>
          <w:sz w:val="24"/>
          <w:szCs w:val="24"/>
        </w:rPr>
      </w:pPr>
      <w:r>
        <w:rPr>
          <w:rFonts w:ascii="Arial" w:hAnsi="Arial" w:cs="Arial"/>
          <w:b/>
          <w:color w:val="000000" w:themeColor="text1"/>
          <w:sz w:val="24"/>
          <w:szCs w:val="24"/>
        </w:rPr>
        <w:t>Figure 2</w:t>
      </w:r>
      <w:r w:rsidRPr="006D0280">
        <w:rPr>
          <w:rFonts w:ascii="Arial" w:hAnsi="Arial" w:cs="Arial"/>
          <w:b/>
          <w:color w:val="000000" w:themeColor="text1"/>
          <w:sz w:val="24"/>
          <w:szCs w:val="24"/>
        </w:rPr>
        <w:t>:</w:t>
      </w:r>
      <w:r w:rsidRPr="006D0280">
        <w:rPr>
          <w:rFonts w:ascii="Arial" w:hAnsi="Arial" w:cs="Arial"/>
          <w:color w:val="000000" w:themeColor="text1"/>
          <w:sz w:val="24"/>
          <w:szCs w:val="24"/>
        </w:rPr>
        <w:t xml:space="preserve"> The </w:t>
      </w:r>
      <w:r>
        <w:rPr>
          <w:rFonts w:ascii="Arial" w:hAnsi="Arial" w:cs="Arial"/>
          <w:color w:val="000000" w:themeColor="text1"/>
          <w:sz w:val="24"/>
          <w:szCs w:val="24"/>
        </w:rPr>
        <w:t>graph indi</w:t>
      </w:r>
      <w:r w:rsidR="00206A05">
        <w:rPr>
          <w:rFonts w:ascii="Arial" w:hAnsi="Arial" w:cs="Arial"/>
          <w:color w:val="000000" w:themeColor="text1"/>
          <w:sz w:val="24"/>
          <w:szCs w:val="24"/>
        </w:rPr>
        <w:t>cating the different Necrosis percentage</w:t>
      </w:r>
      <w:r>
        <w:rPr>
          <w:rFonts w:ascii="Arial" w:hAnsi="Arial" w:cs="Arial"/>
          <w:color w:val="000000" w:themeColor="text1"/>
          <w:sz w:val="24"/>
          <w:szCs w:val="24"/>
        </w:rPr>
        <w:t xml:space="preserve"> for the herbicides </w:t>
      </w:r>
      <w:proofErr w:type="gramStart"/>
      <w:r>
        <w:rPr>
          <w:rFonts w:ascii="Arial" w:hAnsi="Arial" w:cs="Arial"/>
          <w:color w:val="000000" w:themeColor="text1"/>
          <w:sz w:val="24"/>
          <w:szCs w:val="24"/>
        </w:rPr>
        <w:t>applied  (</w:t>
      </w:r>
      <w:proofErr w:type="spellStart"/>
      <w:proofErr w:type="gramEnd"/>
      <w:r>
        <w:rPr>
          <w:rFonts w:ascii="Arial" w:hAnsi="Arial" w:cs="Arial"/>
          <w:color w:val="000000" w:themeColor="text1"/>
          <w:sz w:val="24"/>
          <w:szCs w:val="24"/>
        </w:rPr>
        <w:t>Metolachlor</w:t>
      </w:r>
      <w:proofErr w:type="spellEnd"/>
      <w:r>
        <w:rPr>
          <w:rFonts w:ascii="Arial" w:hAnsi="Arial" w:cs="Arial"/>
          <w:color w:val="000000" w:themeColor="text1"/>
          <w:sz w:val="24"/>
          <w:szCs w:val="24"/>
        </w:rPr>
        <w:t xml:space="preserve">, </w:t>
      </w:r>
      <w:proofErr w:type="spellStart"/>
      <w:r>
        <w:rPr>
          <w:rFonts w:ascii="Arial" w:hAnsi="Arial" w:cs="Arial"/>
          <w:color w:val="000000" w:themeColor="text1"/>
          <w:sz w:val="24"/>
          <w:szCs w:val="24"/>
        </w:rPr>
        <w:t>Clomazone</w:t>
      </w:r>
      <w:proofErr w:type="spellEnd"/>
      <w:r>
        <w:rPr>
          <w:rFonts w:ascii="Arial" w:hAnsi="Arial" w:cs="Arial"/>
          <w:color w:val="000000" w:themeColor="text1"/>
          <w:sz w:val="24"/>
          <w:szCs w:val="24"/>
        </w:rPr>
        <w:t xml:space="preserve">, </w:t>
      </w:r>
      <w:proofErr w:type="spellStart"/>
      <w:r>
        <w:rPr>
          <w:rFonts w:ascii="Arial" w:hAnsi="Arial" w:cs="Arial"/>
          <w:color w:val="000000" w:themeColor="text1"/>
          <w:sz w:val="24"/>
          <w:szCs w:val="24"/>
        </w:rPr>
        <w:t>Halosulfuron</w:t>
      </w:r>
      <w:proofErr w:type="spellEnd"/>
      <w:r>
        <w:rPr>
          <w:rFonts w:ascii="Arial" w:hAnsi="Arial" w:cs="Arial"/>
          <w:color w:val="000000" w:themeColor="text1"/>
          <w:sz w:val="24"/>
          <w:szCs w:val="24"/>
        </w:rPr>
        <w:t xml:space="preserve"> and </w:t>
      </w:r>
      <w:proofErr w:type="spellStart"/>
      <w:r>
        <w:rPr>
          <w:rFonts w:ascii="Arial" w:hAnsi="Arial" w:cs="Arial"/>
          <w:color w:val="000000" w:themeColor="text1"/>
          <w:sz w:val="24"/>
          <w:szCs w:val="24"/>
        </w:rPr>
        <w:t>Oxadiazon</w:t>
      </w:r>
      <w:proofErr w:type="spellEnd"/>
      <w:r>
        <w:rPr>
          <w:rFonts w:ascii="Arial" w:hAnsi="Arial" w:cs="Arial"/>
          <w:color w:val="000000" w:themeColor="text1"/>
          <w:sz w:val="24"/>
          <w:szCs w:val="24"/>
        </w:rPr>
        <w:t>.)</w:t>
      </w:r>
    </w:p>
    <w:p w:rsidR="005B52B2" w:rsidRPr="00ED23B9" w:rsidRDefault="005B52B2" w:rsidP="00EC27A7">
      <w:pPr>
        <w:spacing w:line="360" w:lineRule="auto"/>
        <w:rPr>
          <w:rFonts w:ascii="Arial" w:hAnsi="Arial" w:cs="Arial"/>
          <w:b/>
          <w:color w:val="000000" w:themeColor="text1"/>
          <w:sz w:val="24"/>
          <w:szCs w:val="24"/>
        </w:rPr>
      </w:pPr>
    </w:p>
    <w:p w:rsidR="00ED23B9" w:rsidRDefault="00ED23B9" w:rsidP="00EC27A7">
      <w:pPr>
        <w:spacing w:line="360" w:lineRule="auto"/>
        <w:rPr>
          <w:rFonts w:ascii="Arial" w:hAnsi="Arial" w:cs="Arial"/>
          <w:b/>
          <w:color w:val="000000" w:themeColor="text1"/>
          <w:sz w:val="24"/>
          <w:szCs w:val="24"/>
        </w:rPr>
      </w:pPr>
      <w:proofErr w:type="spellStart"/>
      <w:r w:rsidRPr="00ED23B9">
        <w:rPr>
          <w:rFonts w:ascii="Arial" w:hAnsi="Arial" w:cs="Arial"/>
          <w:b/>
          <w:color w:val="000000" w:themeColor="text1"/>
          <w:sz w:val="24"/>
          <w:szCs w:val="24"/>
        </w:rPr>
        <w:t>Halosulfuron</w:t>
      </w:r>
      <w:proofErr w:type="spellEnd"/>
      <w:r w:rsidRPr="00ED23B9">
        <w:rPr>
          <w:rFonts w:ascii="Arial" w:hAnsi="Arial" w:cs="Arial"/>
          <w:b/>
          <w:color w:val="000000" w:themeColor="text1"/>
          <w:sz w:val="24"/>
          <w:szCs w:val="24"/>
        </w:rPr>
        <w:t xml:space="preserve"> Properties that control Parameters of Cole Crops.</w:t>
      </w:r>
    </w:p>
    <w:p w:rsidR="00E46B91" w:rsidRPr="00E46B91" w:rsidRDefault="00E46B91" w:rsidP="00E46B91">
      <w:pPr>
        <w:spacing w:line="360" w:lineRule="auto"/>
        <w:jc w:val="both"/>
        <w:rPr>
          <w:rFonts w:ascii="Arial" w:hAnsi="Arial" w:cs="Arial"/>
          <w:color w:val="000000" w:themeColor="text1"/>
          <w:sz w:val="24"/>
          <w:szCs w:val="24"/>
        </w:rPr>
      </w:pPr>
      <w:r w:rsidRPr="00E46B91">
        <w:rPr>
          <w:rFonts w:ascii="Arial" w:hAnsi="Arial" w:cs="Arial"/>
          <w:color w:val="000000" w:themeColor="text1"/>
          <w:sz w:val="24"/>
          <w:szCs w:val="24"/>
        </w:rPr>
        <w:t>It is a new highly active sulfonylurea herbicide that has been widely used for weed control in a variety of vegetables and other cucurbits crops (</w:t>
      </w:r>
      <w:proofErr w:type="spellStart"/>
      <w:r w:rsidRPr="00E46B91">
        <w:rPr>
          <w:rFonts w:ascii="Arial" w:hAnsi="Arial" w:cs="Arial"/>
          <w:color w:val="000000" w:themeColor="text1"/>
          <w:sz w:val="24"/>
          <w:szCs w:val="24"/>
        </w:rPr>
        <w:t>Umeada</w:t>
      </w:r>
      <w:proofErr w:type="spellEnd"/>
      <w:r w:rsidRPr="00E46B91">
        <w:rPr>
          <w:rFonts w:ascii="Arial" w:hAnsi="Arial" w:cs="Arial"/>
          <w:color w:val="000000" w:themeColor="text1"/>
          <w:sz w:val="24"/>
          <w:szCs w:val="24"/>
        </w:rPr>
        <w:t xml:space="preserve"> 2011). It is used to control annual grasses and other broad-leaved weeds such as pigweeds. </w:t>
      </w:r>
      <w:proofErr w:type="spellStart"/>
      <w:r w:rsidRPr="00E46B91">
        <w:rPr>
          <w:rFonts w:ascii="Arial" w:hAnsi="Arial" w:cs="Arial"/>
          <w:color w:val="000000" w:themeColor="text1"/>
          <w:sz w:val="24"/>
          <w:szCs w:val="24"/>
        </w:rPr>
        <w:t>Halosulfuron</w:t>
      </w:r>
      <w:proofErr w:type="spellEnd"/>
      <w:r w:rsidRPr="00E46B91">
        <w:rPr>
          <w:rFonts w:ascii="Arial" w:hAnsi="Arial" w:cs="Arial"/>
          <w:color w:val="000000" w:themeColor="text1"/>
          <w:sz w:val="24"/>
          <w:szCs w:val="24"/>
        </w:rPr>
        <w:t xml:space="preserve"> is moderately absorbed in soils; a research conducted indicated that </w:t>
      </w:r>
      <w:proofErr w:type="spellStart"/>
      <w:r w:rsidRPr="00E46B91">
        <w:rPr>
          <w:rFonts w:ascii="Arial" w:hAnsi="Arial" w:cs="Arial"/>
          <w:color w:val="000000" w:themeColor="text1"/>
          <w:sz w:val="24"/>
          <w:szCs w:val="24"/>
        </w:rPr>
        <w:lastRenderedPageBreak/>
        <w:t>halosulfuron</w:t>
      </w:r>
      <w:proofErr w:type="spellEnd"/>
      <w:r w:rsidRPr="00E46B91">
        <w:rPr>
          <w:rFonts w:ascii="Arial" w:hAnsi="Arial" w:cs="Arial"/>
          <w:color w:val="000000" w:themeColor="text1"/>
          <w:sz w:val="24"/>
          <w:szCs w:val="24"/>
        </w:rPr>
        <w:t xml:space="preserve"> adsorption to soil colloids was greatly correlated with soil organic carbon content and inversely related to soil pH (</w:t>
      </w:r>
      <w:proofErr w:type="spellStart"/>
      <w:r w:rsidRPr="00E46B91">
        <w:rPr>
          <w:rFonts w:ascii="Arial" w:hAnsi="Arial" w:cs="Arial"/>
          <w:color w:val="000000" w:themeColor="text1"/>
          <w:sz w:val="24"/>
          <w:szCs w:val="24"/>
        </w:rPr>
        <w:t>Dermiyati</w:t>
      </w:r>
      <w:proofErr w:type="spellEnd"/>
      <w:r w:rsidRPr="00E46B91">
        <w:rPr>
          <w:rFonts w:ascii="Arial" w:hAnsi="Arial" w:cs="Arial"/>
          <w:color w:val="000000" w:themeColor="text1"/>
          <w:sz w:val="24"/>
          <w:szCs w:val="24"/>
        </w:rPr>
        <w:t xml:space="preserve"> and Yamamoto 1997a). </w:t>
      </w:r>
      <w:proofErr w:type="spellStart"/>
      <w:r w:rsidRPr="00E46B91">
        <w:rPr>
          <w:rFonts w:ascii="Arial" w:hAnsi="Arial" w:cs="Arial"/>
          <w:color w:val="000000" w:themeColor="text1"/>
          <w:sz w:val="24"/>
          <w:szCs w:val="24"/>
        </w:rPr>
        <w:t>Halosulfuron</w:t>
      </w:r>
      <w:proofErr w:type="spellEnd"/>
      <w:r w:rsidRPr="00E46B91">
        <w:rPr>
          <w:rFonts w:ascii="Arial" w:hAnsi="Arial" w:cs="Arial"/>
          <w:color w:val="000000" w:themeColor="text1"/>
          <w:sz w:val="24"/>
          <w:szCs w:val="24"/>
        </w:rPr>
        <w:t xml:space="preserve"> applied pre-plant incorporated (PPI) provides control of many annual broadleaf weeds including redroot pigweed (</w:t>
      </w:r>
      <w:proofErr w:type="spellStart"/>
      <w:r w:rsidRPr="00E46B91">
        <w:rPr>
          <w:rFonts w:ascii="Arial" w:hAnsi="Arial" w:cs="Arial"/>
          <w:color w:val="000000" w:themeColor="text1"/>
          <w:sz w:val="24"/>
          <w:szCs w:val="24"/>
        </w:rPr>
        <w:t>Amaranthus</w:t>
      </w:r>
      <w:proofErr w:type="spellEnd"/>
      <w:r w:rsidRPr="00E46B91">
        <w:rPr>
          <w:rFonts w:ascii="Arial" w:hAnsi="Arial" w:cs="Arial"/>
          <w:color w:val="000000" w:themeColor="text1"/>
          <w:sz w:val="24"/>
          <w:szCs w:val="24"/>
        </w:rPr>
        <w:t xml:space="preserve"> </w:t>
      </w:r>
      <w:proofErr w:type="spellStart"/>
      <w:r w:rsidRPr="00E46B91">
        <w:rPr>
          <w:rFonts w:ascii="Arial" w:hAnsi="Arial" w:cs="Arial"/>
          <w:color w:val="000000" w:themeColor="text1"/>
          <w:sz w:val="24"/>
          <w:szCs w:val="24"/>
        </w:rPr>
        <w:t>retroflexus</w:t>
      </w:r>
      <w:proofErr w:type="spellEnd"/>
      <w:r w:rsidRPr="00E46B91">
        <w:rPr>
          <w:rFonts w:ascii="Arial" w:hAnsi="Arial" w:cs="Arial"/>
          <w:color w:val="000000" w:themeColor="text1"/>
          <w:sz w:val="24"/>
          <w:szCs w:val="24"/>
        </w:rPr>
        <w:t xml:space="preserve"> L.), velvetleaf (Abutilon </w:t>
      </w:r>
      <w:proofErr w:type="spellStart"/>
      <w:r w:rsidRPr="00E46B91">
        <w:rPr>
          <w:rFonts w:ascii="Arial" w:hAnsi="Arial" w:cs="Arial"/>
          <w:color w:val="000000" w:themeColor="text1"/>
          <w:sz w:val="24"/>
          <w:szCs w:val="24"/>
        </w:rPr>
        <w:t>theophrasti</w:t>
      </w:r>
      <w:proofErr w:type="spellEnd"/>
      <w:r w:rsidRPr="00E46B91">
        <w:rPr>
          <w:rFonts w:ascii="Arial" w:hAnsi="Arial" w:cs="Arial"/>
          <w:color w:val="000000" w:themeColor="text1"/>
          <w:sz w:val="24"/>
          <w:szCs w:val="24"/>
        </w:rPr>
        <w:t xml:space="preserve"> Medic), common cocklebur (Xanthium </w:t>
      </w:r>
      <w:proofErr w:type="spellStart"/>
      <w:r w:rsidRPr="00E46B91">
        <w:rPr>
          <w:rFonts w:ascii="Arial" w:hAnsi="Arial" w:cs="Arial"/>
          <w:color w:val="000000" w:themeColor="text1"/>
          <w:sz w:val="24"/>
          <w:szCs w:val="24"/>
        </w:rPr>
        <w:t>pennsylvanicum</w:t>
      </w:r>
      <w:proofErr w:type="spellEnd"/>
      <w:r w:rsidRPr="00E46B91">
        <w:rPr>
          <w:rFonts w:ascii="Arial" w:hAnsi="Arial" w:cs="Arial"/>
          <w:color w:val="000000" w:themeColor="text1"/>
          <w:sz w:val="24"/>
          <w:szCs w:val="24"/>
        </w:rPr>
        <w:t xml:space="preserve"> L.), jimson weed (</w:t>
      </w:r>
      <w:proofErr w:type="spellStart"/>
      <w:r w:rsidRPr="00E46B91">
        <w:rPr>
          <w:rFonts w:ascii="Arial" w:hAnsi="Arial" w:cs="Arial"/>
          <w:color w:val="000000" w:themeColor="text1"/>
          <w:sz w:val="24"/>
          <w:szCs w:val="24"/>
        </w:rPr>
        <w:t>Datura</w:t>
      </w:r>
      <w:proofErr w:type="spellEnd"/>
      <w:r w:rsidRPr="00E46B91">
        <w:rPr>
          <w:rFonts w:ascii="Arial" w:hAnsi="Arial" w:cs="Arial"/>
          <w:color w:val="000000" w:themeColor="text1"/>
          <w:sz w:val="24"/>
          <w:szCs w:val="24"/>
        </w:rPr>
        <w:t xml:space="preserve"> </w:t>
      </w:r>
      <w:proofErr w:type="spellStart"/>
      <w:r w:rsidRPr="00E46B91">
        <w:rPr>
          <w:rFonts w:ascii="Arial" w:hAnsi="Arial" w:cs="Arial"/>
          <w:color w:val="000000" w:themeColor="text1"/>
          <w:sz w:val="24"/>
          <w:szCs w:val="24"/>
        </w:rPr>
        <w:t>stramonium</w:t>
      </w:r>
      <w:proofErr w:type="spellEnd"/>
      <w:r w:rsidRPr="00E46B91">
        <w:rPr>
          <w:rFonts w:ascii="Arial" w:hAnsi="Arial" w:cs="Arial"/>
          <w:color w:val="000000" w:themeColor="text1"/>
          <w:sz w:val="24"/>
          <w:szCs w:val="24"/>
        </w:rPr>
        <w:t xml:space="preserve"> L.), lady’s thumb (</w:t>
      </w:r>
      <w:proofErr w:type="spellStart"/>
      <w:r w:rsidRPr="00E46B91">
        <w:rPr>
          <w:rFonts w:ascii="Arial" w:hAnsi="Arial" w:cs="Arial"/>
          <w:color w:val="000000" w:themeColor="text1"/>
          <w:sz w:val="24"/>
          <w:szCs w:val="24"/>
        </w:rPr>
        <w:t>Polygonum</w:t>
      </w:r>
      <w:proofErr w:type="spellEnd"/>
      <w:r w:rsidRPr="00E46B91">
        <w:rPr>
          <w:rFonts w:ascii="Arial" w:hAnsi="Arial" w:cs="Arial"/>
          <w:color w:val="000000" w:themeColor="text1"/>
          <w:sz w:val="24"/>
          <w:szCs w:val="24"/>
        </w:rPr>
        <w:t xml:space="preserve"> </w:t>
      </w:r>
      <w:proofErr w:type="spellStart"/>
      <w:r w:rsidRPr="00E46B91">
        <w:rPr>
          <w:rFonts w:ascii="Arial" w:hAnsi="Arial" w:cs="Arial"/>
          <w:color w:val="000000" w:themeColor="text1"/>
          <w:sz w:val="24"/>
          <w:szCs w:val="24"/>
        </w:rPr>
        <w:t>persicaria</w:t>
      </w:r>
      <w:proofErr w:type="spellEnd"/>
      <w:r w:rsidRPr="00E46B91">
        <w:rPr>
          <w:rFonts w:ascii="Arial" w:hAnsi="Arial" w:cs="Arial"/>
          <w:color w:val="000000" w:themeColor="text1"/>
          <w:sz w:val="24"/>
          <w:szCs w:val="24"/>
        </w:rPr>
        <w:t xml:space="preserve"> L.), and wild mustard (</w:t>
      </w:r>
      <w:proofErr w:type="spellStart"/>
      <w:r w:rsidRPr="00E46B91">
        <w:rPr>
          <w:rFonts w:ascii="Arial" w:hAnsi="Arial" w:cs="Arial"/>
          <w:color w:val="000000" w:themeColor="text1"/>
          <w:sz w:val="24"/>
          <w:szCs w:val="24"/>
        </w:rPr>
        <w:t>Sinapis</w:t>
      </w:r>
      <w:proofErr w:type="spellEnd"/>
      <w:r w:rsidRPr="00E46B91">
        <w:rPr>
          <w:rFonts w:ascii="Arial" w:hAnsi="Arial" w:cs="Arial"/>
          <w:color w:val="000000" w:themeColor="text1"/>
          <w:sz w:val="24"/>
          <w:szCs w:val="24"/>
        </w:rPr>
        <w:t xml:space="preserve"> </w:t>
      </w:r>
      <w:proofErr w:type="spellStart"/>
      <w:r w:rsidRPr="00E46B91">
        <w:rPr>
          <w:rFonts w:ascii="Arial" w:hAnsi="Arial" w:cs="Arial"/>
          <w:color w:val="000000" w:themeColor="text1"/>
          <w:sz w:val="24"/>
          <w:szCs w:val="24"/>
        </w:rPr>
        <w:t>arvensis</w:t>
      </w:r>
      <w:proofErr w:type="spellEnd"/>
      <w:r w:rsidRPr="00E46B91">
        <w:rPr>
          <w:rFonts w:ascii="Arial" w:hAnsi="Arial" w:cs="Arial"/>
          <w:color w:val="000000" w:themeColor="text1"/>
          <w:sz w:val="24"/>
          <w:szCs w:val="24"/>
        </w:rPr>
        <w:t xml:space="preserve"> L.).It controls </w:t>
      </w:r>
      <w:proofErr w:type="spellStart"/>
      <w:r w:rsidRPr="00E46B91">
        <w:rPr>
          <w:rFonts w:ascii="Arial" w:hAnsi="Arial" w:cs="Arial"/>
          <w:color w:val="000000" w:themeColor="text1"/>
          <w:sz w:val="24"/>
          <w:szCs w:val="24"/>
        </w:rPr>
        <w:t>nutsedge</w:t>
      </w:r>
      <w:proofErr w:type="spellEnd"/>
      <w:r w:rsidRPr="00E46B91">
        <w:rPr>
          <w:rFonts w:ascii="Arial" w:hAnsi="Arial" w:cs="Arial"/>
          <w:color w:val="000000" w:themeColor="text1"/>
          <w:sz w:val="24"/>
          <w:szCs w:val="24"/>
        </w:rPr>
        <w:t xml:space="preserve"> species (</w:t>
      </w:r>
      <w:proofErr w:type="spellStart"/>
      <w:r w:rsidRPr="00E46B91">
        <w:rPr>
          <w:rFonts w:ascii="Arial" w:hAnsi="Arial" w:cs="Arial"/>
          <w:color w:val="000000" w:themeColor="text1"/>
          <w:sz w:val="24"/>
          <w:szCs w:val="24"/>
        </w:rPr>
        <w:t>Cyperus</w:t>
      </w:r>
      <w:proofErr w:type="spellEnd"/>
      <w:r w:rsidRPr="00E46B91">
        <w:rPr>
          <w:rFonts w:ascii="Arial" w:hAnsi="Arial" w:cs="Arial"/>
          <w:color w:val="000000" w:themeColor="text1"/>
          <w:sz w:val="24"/>
          <w:szCs w:val="24"/>
        </w:rPr>
        <w:t xml:space="preserve"> spp.) (Senseman2007). The lower rate of </w:t>
      </w:r>
      <w:proofErr w:type="spellStart"/>
      <w:r w:rsidRPr="00E46B91">
        <w:rPr>
          <w:rFonts w:ascii="Arial" w:hAnsi="Arial" w:cs="Arial"/>
          <w:color w:val="000000" w:themeColor="text1"/>
          <w:sz w:val="24"/>
          <w:szCs w:val="24"/>
        </w:rPr>
        <w:t>halosulfuron</w:t>
      </w:r>
      <w:proofErr w:type="spellEnd"/>
      <w:r w:rsidRPr="00E46B91">
        <w:rPr>
          <w:rFonts w:ascii="Arial" w:hAnsi="Arial" w:cs="Arial"/>
          <w:color w:val="000000" w:themeColor="text1"/>
          <w:sz w:val="24"/>
          <w:szCs w:val="24"/>
        </w:rPr>
        <w:t xml:space="preserve"> (35 </w:t>
      </w:r>
      <w:proofErr w:type="spellStart"/>
      <w:r w:rsidRPr="00E46B91">
        <w:rPr>
          <w:rFonts w:ascii="Arial" w:hAnsi="Arial" w:cs="Arial"/>
          <w:color w:val="000000" w:themeColor="text1"/>
          <w:sz w:val="24"/>
          <w:szCs w:val="24"/>
        </w:rPr>
        <w:t>gai</w:t>
      </w:r>
      <w:proofErr w:type="spellEnd"/>
      <w:r w:rsidRPr="00E46B91">
        <w:rPr>
          <w:rFonts w:ascii="Arial" w:hAnsi="Arial" w:cs="Arial"/>
          <w:color w:val="000000" w:themeColor="text1"/>
          <w:sz w:val="24"/>
          <w:szCs w:val="24"/>
        </w:rPr>
        <w:t>/ha) is recommended on lighter textured with low organic matter soils (</w:t>
      </w:r>
      <w:proofErr w:type="spellStart"/>
      <w:r w:rsidRPr="00E46B91">
        <w:rPr>
          <w:rFonts w:ascii="Arial" w:hAnsi="Arial" w:cs="Arial"/>
          <w:color w:val="000000" w:themeColor="text1"/>
          <w:sz w:val="24"/>
          <w:szCs w:val="24"/>
        </w:rPr>
        <w:t>Senseman</w:t>
      </w:r>
      <w:proofErr w:type="spellEnd"/>
      <w:r w:rsidRPr="00E46B91">
        <w:rPr>
          <w:rFonts w:ascii="Arial" w:hAnsi="Arial" w:cs="Arial"/>
          <w:color w:val="000000" w:themeColor="text1"/>
          <w:sz w:val="24"/>
          <w:szCs w:val="24"/>
        </w:rPr>
        <w:t xml:space="preserve"> 2007). </w:t>
      </w:r>
      <w:proofErr w:type="spellStart"/>
      <w:r w:rsidRPr="00E46B91">
        <w:rPr>
          <w:rFonts w:ascii="Arial" w:hAnsi="Arial" w:cs="Arial"/>
          <w:color w:val="000000" w:themeColor="text1"/>
          <w:sz w:val="24"/>
          <w:szCs w:val="24"/>
        </w:rPr>
        <w:t>Halosulfuron</w:t>
      </w:r>
      <w:proofErr w:type="spellEnd"/>
      <w:r w:rsidRPr="00E46B91">
        <w:rPr>
          <w:rFonts w:ascii="Arial" w:hAnsi="Arial" w:cs="Arial"/>
          <w:color w:val="000000" w:themeColor="text1"/>
          <w:sz w:val="24"/>
          <w:szCs w:val="24"/>
        </w:rPr>
        <w:t xml:space="preserve"> is a low dose herbicide that provides residual control of broadleaf weeds.  </w:t>
      </w:r>
    </w:p>
    <w:p w:rsidR="00E46B91" w:rsidRPr="00E46B91" w:rsidRDefault="00E46B91" w:rsidP="00E46B91">
      <w:pPr>
        <w:spacing w:line="360" w:lineRule="auto"/>
        <w:rPr>
          <w:rFonts w:ascii="Arial" w:hAnsi="Arial" w:cs="Arial"/>
          <w:b/>
          <w:color w:val="000000" w:themeColor="text1"/>
          <w:sz w:val="24"/>
          <w:szCs w:val="24"/>
        </w:rPr>
      </w:pPr>
    </w:p>
    <w:p w:rsidR="00E46B91" w:rsidRDefault="00E46B91" w:rsidP="00EC27A7">
      <w:pPr>
        <w:spacing w:line="360" w:lineRule="auto"/>
        <w:rPr>
          <w:rFonts w:ascii="Arial" w:hAnsi="Arial" w:cs="Arial"/>
          <w:b/>
          <w:color w:val="000000" w:themeColor="text1"/>
          <w:sz w:val="24"/>
          <w:szCs w:val="24"/>
        </w:rPr>
      </w:pPr>
    </w:p>
    <w:p w:rsidR="00ED23B9" w:rsidRDefault="00ED23B9" w:rsidP="00ED23B9">
      <w:pPr>
        <w:spacing w:line="360" w:lineRule="auto"/>
        <w:rPr>
          <w:rFonts w:ascii="Arial" w:hAnsi="Arial" w:cs="Arial"/>
          <w:b/>
          <w:color w:val="000000" w:themeColor="text1"/>
          <w:sz w:val="24"/>
          <w:szCs w:val="24"/>
        </w:rPr>
      </w:pPr>
      <w:r w:rsidRPr="0028274B">
        <w:rPr>
          <w:rFonts w:ascii="Arial" w:hAnsi="Arial" w:cs="Arial"/>
          <w:b/>
          <w:color w:val="000000" w:themeColor="text1"/>
          <w:sz w:val="24"/>
          <w:szCs w:val="24"/>
        </w:rPr>
        <w:t xml:space="preserve">Effect of </w:t>
      </w:r>
      <w:proofErr w:type="spellStart"/>
      <w:r w:rsidRPr="0028274B">
        <w:rPr>
          <w:rFonts w:ascii="Arial" w:hAnsi="Arial" w:cs="Arial"/>
          <w:b/>
          <w:color w:val="000000" w:themeColor="text1"/>
          <w:sz w:val="24"/>
          <w:szCs w:val="24"/>
        </w:rPr>
        <w:t>Halosulfuron</w:t>
      </w:r>
      <w:proofErr w:type="spellEnd"/>
      <w:r w:rsidRPr="0028274B">
        <w:rPr>
          <w:rFonts w:ascii="Arial" w:hAnsi="Arial" w:cs="Arial"/>
          <w:b/>
          <w:color w:val="000000" w:themeColor="text1"/>
          <w:sz w:val="24"/>
          <w:szCs w:val="24"/>
        </w:rPr>
        <w:t xml:space="preserve"> applied soil on Broccoli Hybrid Seedlings.</w:t>
      </w:r>
    </w:p>
    <w:p w:rsidR="00A41727" w:rsidRPr="00A41727" w:rsidRDefault="00A41727" w:rsidP="00A41727">
      <w:pPr>
        <w:spacing w:line="360" w:lineRule="auto"/>
        <w:jc w:val="both"/>
        <w:rPr>
          <w:rFonts w:ascii="Arial" w:hAnsi="Arial" w:cs="Arial"/>
          <w:color w:val="000000" w:themeColor="text1"/>
          <w:sz w:val="24"/>
          <w:szCs w:val="24"/>
        </w:rPr>
      </w:pPr>
      <w:proofErr w:type="spellStart"/>
      <w:r w:rsidRPr="00A41727">
        <w:rPr>
          <w:rFonts w:ascii="Arial" w:hAnsi="Arial" w:cs="Arial"/>
          <w:color w:val="000000" w:themeColor="text1"/>
          <w:sz w:val="24"/>
          <w:szCs w:val="24"/>
        </w:rPr>
        <w:t>Umeada</w:t>
      </w:r>
      <w:proofErr w:type="spellEnd"/>
      <w:r w:rsidRPr="00A41727">
        <w:rPr>
          <w:rFonts w:ascii="Arial" w:hAnsi="Arial" w:cs="Arial"/>
          <w:color w:val="000000" w:themeColor="text1"/>
          <w:sz w:val="24"/>
          <w:szCs w:val="24"/>
        </w:rPr>
        <w:t xml:space="preserve"> (2011) reported that </w:t>
      </w:r>
      <w:proofErr w:type="spellStart"/>
      <w:r w:rsidRPr="00A41727">
        <w:rPr>
          <w:rFonts w:ascii="Arial" w:hAnsi="Arial" w:cs="Arial"/>
          <w:color w:val="000000" w:themeColor="text1"/>
          <w:sz w:val="24"/>
          <w:szCs w:val="24"/>
        </w:rPr>
        <w:t>halosulfuron</w:t>
      </w:r>
      <w:proofErr w:type="spellEnd"/>
      <w:r w:rsidRPr="00A41727">
        <w:rPr>
          <w:rFonts w:ascii="Arial" w:hAnsi="Arial" w:cs="Arial"/>
          <w:color w:val="000000" w:themeColor="text1"/>
          <w:sz w:val="24"/>
          <w:szCs w:val="24"/>
        </w:rPr>
        <w:t xml:space="preserve"> herbicide did not affect crop stand establishment when alfalfa, spinach, lettuce, onion, barley, and broccoli were planted alongside cantaloupes. The number of plants of each crop that was counted was similar to the untreated trial. </w:t>
      </w:r>
      <w:proofErr w:type="spellStart"/>
      <w:r w:rsidRPr="00A41727">
        <w:rPr>
          <w:rFonts w:ascii="Arial" w:hAnsi="Arial" w:cs="Arial"/>
          <w:color w:val="000000" w:themeColor="text1"/>
          <w:sz w:val="24"/>
          <w:szCs w:val="24"/>
        </w:rPr>
        <w:t>Halosulfuron</w:t>
      </w:r>
      <w:proofErr w:type="spellEnd"/>
      <w:r w:rsidRPr="00A41727">
        <w:rPr>
          <w:rFonts w:ascii="Arial" w:hAnsi="Arial" w:cs="Arial"/>
          <w:color w:val="000000" w:themeColor="text1"/>
          <w:sz w:val="24"/>
          <w:szCs w:val="24"/>
        </w:rPr>
        <w:t xml:space="preserve"> shows a greater crop safety when applied PPI or PRE when compared with a POST in white bean production (</w:t>
      </w:r>
      <w:proofErr w:type="spellStart"/>
      <w:r w:rsidRPr="00A41727">
        <w:rPr>
          <w:rFonts w:ascii="Arial" w:hAnsi="Arial" w:cs="Arial"/>
          <w:color w:val="000000" w:themeColor="text1"/>
          <w:sz w:val="24"/>
          <w:szCs w:val="24"/>
        </w:rPr>
        <w:t>Soltani</w:t>
      </w:r>
      <w:proofErr w:type="spellEnd"/>
      <w:r w:rsidRPr="00A41727">
        <w:rPr>
          <w:rFonts w:ascii="Arial" w:hAnsi="Arial" w:cs="Arial"/>
          <w:color w:val="000000" w:themeColor="text1"/>
          <w:sz w:val="24"/>
          <w:szCs w:val="24"/>
        </w:rPr>
        <w:t xml:space="preserve"> et al., 2009).</w:t>
      </w:r>
    </w:p>
    <w:p w:rsidR="00A41727" w:rsidRPr="00A41727" w:rsidRDefault="00A41727" w:rsidP="00A41727">
      <w:pPr>
        <w:spacing w:line="360" w:lineRule="auto"/>
        <w:jc w:val="both"/>
        <w:rPr>
          <w:rFonts w:ascii="Arial" w:hAnsi="Arial" w:cs="Arial"/>
          <w:color w:val="000000" w:themeColor="text1"/>
          <w:sz w:val="24"/>
          <w:szCs w:val="24"/>
        </w:rPr>
      </w:pPr>
      <w:r w:rsidRPr="00A41727">
        <w:rPr>
          <w:rFonts w:ascii="Arial" w:hAnsi="Arial" w:cs="Arial"/>
          <w:color w:val="000000" w:themeColor="text1"/>
          <w:sz w:val="24"/>
          <w:szCs w:val="24"/>
        </w:rPr>
        <w:t xml:space="preserve">According to Brown and </w:t>
      </w:r>
      <w:proofErr w:type="spellStart"/>
      <w:r w:rsidRPr="00A41727">
        <w:rPr>
          <w:rFonts w:ascii="Arial" w:hAnsi="Arial" w:cs="Arial"/>
          <w:color w:val="000000" w:themeColor="text1"/>
          <w:sz w:val="24"/>
          <w:szCs w:val="24"/>
        </w:rPr>
        <w:t>Masiunas</w:t>
      </w:r>
      <w:proofErr w:type="spellEnd"/>
      <w:r w:rsidRPr="00A41727">
        <w:rPr>
          <w:rFonts w:ascii="Arial" w:hAnsi="Arial" w:cs="Arial"/>
          <w:color w:val="000000" w:themeColor="text1"/>
          <w:sz w:val="24"/>
          <w:szCs w:val="24"/>
        </w:rPr>
        <w:t xml:space="preserve"> (2002), </w:t>
      </w:r>
      <w:proofErr w:type="spellStart"/>
      <w:r w:rsidRPr="00A41727">
        <w:rPr>
          <w:rFonts w:ascii="Arial" w:hAnsi="Arial" w:cs="Arial"/>
          <w:color w:val="000000" w:themeColor="text1"/>
          <w:sz w:val="24"/>
          <w:szCs w:val="24"/>
        </w:rPr>
        <w:t>halosulfuron</w:t>
      </w:r>
      <w:proofErr w:type="spellEnd"/>
      <w:r w:rsidRPr="00A41727">
        <w:rPr>
          <w:rFonts w:ascii="Arial" w:hAnsi="Arial" w:cs="Arial"/>
          <w:color w:val="000000" w:themeColor="text1"/>
          <w:sz w:val="24"/>
          <w:szCs w:val="24"/>
        </w:rPr>
        <w:t xml:space="preserve"> applied PRE provided a better control of redroot pigweed, velvetleaf, and lamb’s-quarters 3 weeks after it was applied (WAA), respectively. Whilst </w:t>
      </w:r>
      <w:proofErr w:type="spellStart"/>
      <w:r w:rsidRPr="00A41727">
        <w:rPr>
          <w:rFonts w:ascii="Arial" w:hAnsi="Arial" w:cs="Arial"/>
          <w:color w:val="000000" w:themeColor="text1"/>
          <w:sz w:val="24"/>
          <w:szCs w:val="24"/>
        </w:rPr>
        <w:t>halosulfuron</w:t>
      </w:r>
      <w:proofErr w:type="spellEnd"/>
      <w:r w:rsidRPr="00A41727">
        <w:rPr>
          <w:rFonts w:ascii="Arial" w:hAnsi="Arial" w:cs="Arial"/>
          <w:color w:val="000000" w:themeColor="text1"/>
          <w:sz w:val="24"/>
          <w:szCs w:val="24"/>
        </w:rPr>
        <w:t xml:space="preserve"> when the applied POST, controlled a very small quantity of lamb’s quarters in a trial demonstrated by </w:t>
      </w:r>
      <w:proofErr w:type="spellStart"/>
      <w:r w:rsidRPr="00A41727">
        <w:rPr>
          <w:rFonts w:ascii="Arial" w:hAnsi="Arial" w:cs="Arial"/>
          <w:color w:val="000000" w:themeColor="text1"/>
          <w:sz w:val="24"/>
          <w:szCs w:val="24"/>
        </w:rPr>
        <w:t>Soltani</w:t>
      </w:r>
      <w:proofErr w:type="spellEnd"/>
      <w:r w:rsidRPr="00A41727">
        <w:rPr>
          <w:rFonts w:ascii="Arial" w:hAnsi="Arial" w:cs="Arial"/>
          <w:color w:val="000000" w:themeColor="text1"/>
          <w:sz w:val="24"/>
          <w:szCs w:val="24"/>
        </w:rPr>
        <w:t xml:space="preserve"> et al.,(2013a). </w:t>
      </w:r>
      <w:proofErr w:type="spellStart"/>
      <w:r w:rsidRPr="00A41727">
        <w:rPr>
          <w:rFonts w:ascii="Arial" w:hAnsi="Arial" w:cs="Arial"/>
          <w:color w:val="000000" w:themeColor="text1"/>
          <w:sz w:val="24"/>
          <w:szCs w:val="24"/>
        </w:rPr>
        <w:t>Soltani</w:t>
      </w:r>
      <w:proofErr w:type="spellEnd"/>
      <w:r w:rsidRPr="00A41727">
        <w:rPr>
          <w:rFonts w:ascii="Arial" w:hAnsi="Arial" w:cs="Arial"/>
          <w:color w:val="000000" w:themeColor="text1"/>
          <w:sz w:val="24"/>
          <w:szCs w:val="24"/>
        </w:rPr>
        <w:t xml:space="preserve"> et al., (2009) evaluated the crop safety of </w:t>
      </w:r>
      <w:proofErr w:type="spellStart"/>
      <w:r w:rsidRPr="00A41727">
        <w:rPr>
          <w:rFonts w:ascii="Arial" w:hAnsi="Arial" w:cs="Arial"/>
          <w:color w:val="000000" w:themeColor="text1"/>
          <w:sz w:val="24"/>
          <w:szCs w:val="24"/>
        </w:rPr>
        <w:t>halosulfuron</w:t>
      </w:r>
      <w:proofErr w:type="spellEnd"/>
      <w:r w:rsidRPr="00A41727">
        <w:rPr>
          <w:rFonts w:ascii="Arial" w:hAnsi="Arial" w:cs="Arial"/>
          <w:color w:val="000000" w:themeColor="text1"/>
          <w:sz w:val="24"/>
          <w:szCs w:val="24"/>
        </w:rPr>
        <w:t xml:space="preserve"> applied at 35 and 70 g </w:t>
      </w:r>
      <w:proofErr w:type="spellStart"/>
      <w:r w:rsidRPr="00A41727">
        <w:rPr>
          <w:rFonts w:ascii="Arial" w:hAnsi="Arial" w:cs="Arial"/>
          <w:color w:val="000000" w:themeColor="text1"/>
          <w:sz w:val="24"/>
          <w:szCs w:val="24"/>
        </w:rPr>
        <w:t>ai</w:t>
      </w:r>
      <w:proofErr w:type="spellEnd"/>
      <w:r w:rsidRPr="00A41727">
        <w:rPr>
          <w:rFonts w:ascii="Arial" w:hAnsi="Arial" w:cs="Arial"/>
          <w:color w:val="000000" w:themeColor="text1"/>
          <w:sz w:val="24"/>
          <w:szCs w:val="24"/>
        </w:rPr>
        <w:t xml:space="preserve"> /ha PPI, PRE, and POST to black, cranberry, kidney, </w:t>
      </w:r>
      <w:proofErr w:type="spellStart"/>
      <w:r w:rsidRPr="00A41727">
        <w:rPr>
          <w:rFonts w:ascii="Arial" w:hAnsi="Arial" w:cs="Arial"/>
          <w:color w:val="000000" w:themeColor="text1"/>
          <w:sz w:val="24"/>
          <w:szCs w:val="24"/>
        </w:rPr>
        <w:t>otebo</w:t>
      </w:r>
      <w:proofErr w:type="spellEnd"/>
      <w:r w:rsidRPr="00A41727">
        <w:rPr>
          <w:rFonts w:ascii="Arial" w:hAnsi="Arial" w:cs="Arial"/>
          <w:color w:val="000000" w:themeColor="text1"/>
          <w:sz w:val="24"/>
          <w:szCs w:val="24"/>
        </w:rPr>
        <w:t xml:space="preserve">, pink, pinto, small red Mexican (SRM), and white beans in Harrow, </w:t>
      </w:r>
      <w:proofErr w:type="spellStart"/>
      <w:r w:rsidRPr="00A41727">
        <w:rPr>
          <w:rFonts w:ascii="Arial" w:hAnsi="Arial" w:cs="Arial"/>
          <w:color w:val="000000" w:themeColor="text1"/>
          <w:sz w:val="24"/>
          <w:szCs w:val="24"/>
        </w:rPr>
        <w:t>Ridgetown</w:t>
      </w:r>
      <w:proofErr w:type="spellEnd"/>
      <w:r w:rsidRPr="00A41727">
        <w:rPr>
          <w:rFonts w:ascii="Arial" w:hAnsi="Arial" w:cs="Arial"/>
          <w:color w:val="000000" w:themeColor="text1"/>
          <w:sz w:val="24"/>
          <w:szCs w:val="24"/>
        </w:rPr>
        <w:t xml:space="preserve">, and Exeter, Ontario. It was reported that </w:t>
      </w:r>
      <w:proofErr w:type="spellStart"/>
      <w:r w:rsidRPr="00A41727">
        <w:rPr>
          <w:rFonts w:ascii="Arial" w:hAnsi="Arial" w:cs="Arial"/>
          <w:color w:val="000000" w:themeColor="text1"/>
          <w:sz w:val="24"/>
          <w:szCs w:val="24"/>
        </w:rPr>
        <w:t>halosulfuron</w:t>
      </w:r>
      <w:proofErr w:type="spellEnd"/>
      <w:r w:rsidRPr="00A41727">
        <w:rPr>
          <w:rFonts w:ascii="Arial" w:hAnsi="Arial" w:cs="Arial"/>
          <w:color w:val="000000" w:themeColor="text1"/>
          <w:sz w:val="24"/>
          <w:szCs w:val="24"/>
        </w:rPr>
        <w:t xml:space="preserve"> applied PPI, PRE, and POST caused 1%, 2%, and 5% crop injury, respectively. </w:t>
      </w:r>
      <w:proofErr w:type="spellStart"/>
      <w:r w:rsidRPr="00A41727">
        <w:rPr>
          <w:rFonts w:ascii="Arial" w:hAnsi="Arial" w:cs="Arial"/>
          <w:color w:val="000000" w:themeColor="text1"/>
          <w:sz w:val="24"/>
          <w:szCs w:val="24"/>
        </w:rPr>
        <w:t>Halosulfuron</w:t>
      </w:r>
      <w:proofErr w:type="spellEnd"/>
      <w:r w:rsidRPr="00A41727">
        <w:rPr>
          <w:rFonts w:ascii="Arial" w:hAnsi="Arial" w:cs="Arial"/>
          <w:color w:val="000000" w:themeColor="text1"/>
          <w:sz w:val="24"/>
          <w:szCs w:val="24"/>
        </w:rPr>
        <w:t xml:space="preserve"> applied PPI or PRE provides annual broadleaf weed and sedge control. </w:t>
      </w:r>
      <w:proofErr w:type="spellStart"/>
      <w:r w:rsidRPr="00A41727">
        <w:rPr>
          <w:rFonts w:ascii="Arial" w:hAnsi="Arial" w:cs="Arial"/>
          <w:color w:val="000000" w:themeColor="text1"/>
          <w:sz w:val="24"/>
          <w:szCs w:val="24"/>
        </w:rPr>
        <w:t>Grichar</w:t>
      </w:r>
      <w:proofErr w:type="spellEnd"/>
      <w:r w:rsidRPr="00A41727">
        <w:rPr>
          <w:rFonts w:ascii="Arial" w:hAnsi="Arial" w:cs="Arial"/>
          <w:color w:val="000000" w:themeColor="text1"/>
          <w:sz w:val="24"/>
          <w:szCs w:val="24"/>
        </w:rPr>
        <w:t xml:space="preserve"> et al., (2009) reported 92% purple </w:t>
      </w:r>
      <w:proofErr w:type="spellStart"/>
      <w:r w:rsidRPr="00A41727">
        <w:rPr>
          <w:rFonts w:ascii="Arial" w:hAnsi="Arial" w:cs="Arial"/>
          <w:color w:val="000000" w:themeColor="text1"/>
          <w:sz w:val="24"/>
          <w:szCs w:val="24"/>
        </w:rPr>
        <w:t>nutsedge</w:t>
      </w:r>
      <w:proofErr w:type="spellEnd"/>
      <w:r w:rsidRPr="00A41727">
        <w:rPr>
          <w:rFonts w:ascii="Arial" w:hAnsi="Arial" w:cs="Arial"/>
          <w:color w:val="000000" w:themeColor="text1"/>
          <w:sz w:val="24"/>
          <w:szCs w:val="24"/>
        </w:rPr>
        <w:t xml:space="preserve"> control with </w:t>
      </w:r>
      <w:proofErr w:type="spellStart"/>
      <w:r w:rsidRPr="00A41727">
        <w:rPr>
          <w:rFonts w:ascii="Arial" w:hAnsi="Arial" w:cs="Arial"/>
          <w:color w:val="000000" w:themeColor="text1"/>
          <w:sz w:val="24"/>
          <w:szCs w:val="24"/>
        </w:rPr>
        <w:t>halosulfuron</w:t>
      </w:r>
      <w:proofErr w:type="spellEnd"/>
      <w:r w:rsidRPr="00A41727">
        <w:rPr>
          <w:rFonts w:ascii="Arial" w:hAnsi="Arial" w:cs="Arial"/>
          <w:color w:val="000000" w:themeColor="text1"/>
          <w:sz w:val="24"/>
          <w:szCs w:val="24"/>
        </w:rPr>
        <w:t xml:space="preserve"> applied PRE at 66 g </w:t>
      </w:r>
      <w:proofErr w:type="spellStart"/>
      <w:r w:rsidRPr="00A41727">
        <w:rPr>
          <w:rFonts w:ascii="Arial" w:hAnsi="Arial" w:cs="Arial"/>
          <w:color w:val="000000" w:themeColor="text1"/>
          <w:sz w:val="24"/>
          <w:szCs w:val="24"/>
        </w:rPr>
        <w:t>ai</w:t>
      </w:r>
      <w:proofErr w:type="spellEnd"/>
      <w:r w:rsidRPr="00A41727">
        <w:rPr>
          <w:rFonts w:ascii="Arial" w:hAnsi="Arial" w:cs="Arial"/>
          <w:color w:val="000000" w:themeColor="text1"/>
          <w:sz w:val="24"/>
          <w:szCs w:val="24"/>
        </w:rPr>
        <w:t>/ha.</w:t>
      </w:r>
    </w:p>
    <w:p w:rsidR="00A41727" w:rsidRPr="00A41727" w:rsidRDefault="00A41727" w:rsidP="00A41727">
      <w:pPr>
        <w:spacing w:line="360" w:lineRule="auto"/>
        <w:rPr>
          <w:rFonts w:ascii="Arial" w:hAnsi="Arial" w:cs="Arial"/>
          <w:b/>
          <w:color w:val="000000" w:themeColor="text1"/>
          <w:sz w:val="24"/>
          <w:szCs w:val="24"/>
        </w:rPr>
      </w:pPr>
      <w:r w:rsidRPr="00A41727">
        <w:rPr>
          <w:rFonts w:ascii="Arial" w:hAnsi="Arial" w:cs="Arial"/>
          <w:b/>
          <w:color w:val="000000" w:themeColor="text1"/>
          <w:sz w:val="24"/>
          <w:szCs w:val="24"/>
        </w:rPr>
        <w:t xml:space="preserve"> </w:t>
      </w:r>
    </w:p>
    <w:p w:rsidR="00471274" w:rsidRDefault="00471274" w:rsidP="00471274">
      <w:pPr>
        <w:spacing w:line="360" w:lineRule="auto"/>
        <w:rPr>
          <w:rFonts w:ascii="Arial" w:hAnsi="Arial" w:cs="Arial"/>
          <w:color w:val="000000" w:themeColor="text1"/>
          <w:sz w:val="24"/>
          <w:szCs w:val="24"/>
        </w:rPr>
      </w:pPr>
      <w:r w:rsidRPr="0028274B">
        <w:rPr>
          <w:rFonts w:ascii="Arial" w:hAnsi="Arial" w:cs="Arial"/>
          <w:b/>
          <w:color w:val="000000" w:themeColor="text1"/>
          <w:sz w:val="24"/>
          <w:szCs w:val="24"/>
        </w:rPr>
        <w:lastRenderedPageBreak/>
        <w:t>CONCLUSION</w:t>
      </w:r>
      <w:r w:rsidRPr="0028274B">
        <w:rPr>
          <w:rFonts w:ascii="Arial" w:hAnsi="Arial" w:cs="Arial"/>
          <w:color w:val="000000" w:themeColor="text1"/>
          <w:sz w:val="24"/>
          <w:szCs w:val="24"/>
        </w:rPr>
        <w:t>.</w:t>
      </w:r>
    </w:p>
    <w:p w:rsidR="00A41727" w:rsidRPr="00A41727" w:rsidRDefault="00A41727" w:rsidP="00A41727">
      <w:pPr>
        <w:spacing w:line="360" w:lineRule="auto"/>
        <w:jc w:val="both"/>
        <w:rPr>
          <w:rFonts w:ascii="Arial" w:hAnsi="Arial" w:cs="Arial"/>
          <w:color w:val="000000" w:themeColor="text1"/>
          <w:sz w:val="24"/>
          <w:szCs w:val="24"/>
        </w:rPr>
      </w:pPr>
      <w:r w:rsidRPr="00A41727">
        <w:rPr>
          <w:rFonts w:ascii="Arial" w:hAnsi="Arial" w:cs="Arial"/>
          <w:color w:val="000000" w:themeColor="text1"/>
          <w:sz w:val="24"/>
          <w:szCs w:val="24"/>
        </w:rPr>
        <w:t xml:space="preserve">The experiment indicates that broccoli response to </w:t>
      </w:r>
      <w:proofErr w:type="spellStart"/>
      <w:r w:rsidRPr="00A41727">
        <w:rPr>
          <w:rFonts w:ascii="Arial" w:hAnsi="Arial" w:cs="Arial"/>
          <w:color w:val="000000" w:themeColor="text1"/>
          <w:sz w:val="24"/>
          <w:szCs w:val="24"/>
        </w:rPr>
        <w:t>Metolachlor</w:t>
      </w:r>
      <w:proofErr w:type="spellEnd"/>
      <w:r w:rsidRPr="00A41727">
        <w:rPr>
          <w:rFonts w:ascii="Arial" w:hAnsi="Arial" w:cs="Arial"/>
          <w:color w:val="000000" w:themeColor="text1"/>
          <w:sz w:val="24"/>
          <w:szCs w:val="24"/>
        </w:rPr>
        <w:t xml:space="preserve">, </w:t>
      </w:r>
      <w:proofErr w:type="spellStart"/>
      <w:r w:rsidRPr="00A41727">
        <w:rPr>
          <w:rFonts w:ascii="Arial" w:hAnsi="Arial" w:cs="Arial"/>
          <w:color w:val="000000" w:themeColor="text1"/>
          <w:sz w:val="24"/>
          <w:szCs w:val="24"/>
        </w:rPr>
        <w:t>Halosulfuron</w:t>
      </w:r>
      <w:proofErr w:type="spellEnd"/>
      <w:r w:rsidRPr="00A41727">
        <w:rPr>
          <w:rFonts w:ascii="Arial" w:hAnsi="Arial" w:cs="Arial"/>
          <w:color w:val="000000" w:themeColor="text1"/>
          <w:sz w:val="24"/>
          <w:szCs w:val="24"/>
        </w:rPr>
        <w:t xml:space="preserve">, </w:t>
      </w:r>
      <w:proofErr w:type="spellStart"/>
      <w:r w:rsidRPr="00A41727">
        <w:rPr>
          <w:rFonts w:ascii="Arial" w:hAnsi="Arial" w:cs="Arial"/>
          <w:color w:val="000000" w:themeColor="text1"/>
          <w:sz w:val="24"/>
          <w:szCs w:val="24"/>
        </w:rPr>
        <w:t>Clomazone</w:t>
      </w:r>
      <w:proofErr w:type="spellEnd"/>
      <w:r w:rsidRPr="00A41727">
        <w:rPr>
          <w:rFonts w:ascii="Arial" w:hAnsi="Arial" w:cs="Arial"/>
          <w:color w:val="000000" w:themeColor="text1"/>
          <w:sz w:val="24"/>
          <w:szCs w:val="24"/>
        </w:rPr>
        <w:t xml:space="preserve">, and </w:t>
      </w:r>
      <w:proofErr w:type="spellStart"/>
      <w:r w:rsidRPr="00A41727">
        <w:rPr>
          <w:rFonts w:ascii="Arial" w:hAnsi="Arial" w:cs="Arial"/>
          <w:color w:val="000000" w:themeColor="text1"/>
          <w:sz w:val="24"/>
          <w:szCs w:val="24"/>
        </w:rPr>
        <w:t>oxadiazon</w:t>
      </w:r>
      <w:proofErr w:type="spellEnd"/>
      <w:r w:rsidRPr="00A41727">
        <w:rPr>
          <w:rFonts w:ascii="Arial" w:hAnsi="Arial" w:cs="Arial"/>
          <w:color w:val="000000" w:themeColor="text1"/>
          <w:sz w:val="24"/>
          <w:szCs w:val="24"/>
        </w:rPr>
        <w:t xml:space="preserve"> is dependent on dose. The </w:t>
      </w:r>
      <w:proofErr w:type="spellStart"/>
      <w:r w:rsidRPr="00A41727">
        <w:rPr>
          <w:rFonts w:ascii="Arial" w:hAnsi="Arial" w:cs="Arial"/>
          <w:color w:val="000000" w:themeColor="text1"/>
          <w:sz w:val="24"/>
          <w:szCs w:val="24"/>
        </w:rPr>
        <w:t>preplanting</w:t>
      </w:r>
      <w:proofErr w:type="spellEnd"/>
      <w:r w:rsidRPr="00A41727">
        <w:rPr>
          <w:rFonts w:ascii="Arial" w:hAnsi="Arial" w:cs="Arial"/>
          <w:color w:val="000000" w:themeColor="text1"/>
          <w:sz w:val="24"/>
          <w:szCs w:val="24"/>
        </w:rPr>
        <w:t xml:space="preserve"> incorporated application of </w:t>
      </w:r>
      <w:proofErr w:type="spellStart"/>
      <w:r w:rsidRPr="00A41727">
        <w:rPr>
          <w:rFonts w:ascii="Arial" w:hAnsi="Arial" w:cs="Arial"/>
          <w:color w:val="000000" w:themeColor="text1"/>
          <w:sz w:val="24"/>
          <w:szCs w:val="24"/>
        </w:rPr>
        <w:t>Metolachlor</w:t>
      </w:r>
      <w:proofErr w:type="spellEnd"/>
      <w:r w:rsidRPr="00A41727">
        <w:rPr>
          <w:rFonts w:ascii="Arial" w:hAnsi="Arial" w:cs="Arial"/>
          <w:color w:val="000000" w:themeColor="text1"/>
          <w:sz w:val="24"/>
          <w:szCs w:val="24"/>
        </w:rPr>
        <w:t xml:space="preserve"> and </w:t>
      </w:r>
      <w:proofErr w:type="spellStart"/>
      <w:r w:rsidRPr="00A41727">
        <w:rPr>
          <w:rFonts w:ascii="Arial" w:hAnsi="Arial" w:cs="Arial"/>
          <w:color w:val="000000" w:themeColor="text1"/>
          <w:sz w:val="24"/>
          <w:szCs w:val="24"/>
        </w:rPr>
        <w:t>Clomazone</w:t>
      </w:r>
      <w:proofErr w:type="spellEnd"/>
      <w:r w:rsidRPr="00A41727">
        <w:rPr>
          <w:rFonts w:ascii="Arial" w:hAnsi="Arial" w:cs="Arial"/>
          <w:color w:val="000000" w:themeColor="text1"/>
          <w:sz w:val="24"/>
          <w:szCs w:val="24"/>
        </w:rPr>
        <w:t xml:space="preserve"> to direct seeding of broccoli have the ability to cause significant injury to broccoli hybrids, normally at the proposed dosage, which may happen during mixing stages. The PREE application of </w:t>
      </w:r>
      <w:proofErr w:type="spellStart"/>
      <w:r w:rsidRPr="00A41727">
        <w:rPr>
          <w:rFonts w:ascii="Arial" w:hAnsi="Arial" w:cs="Arial"/>
          <w:color w:val="000000" w:themeColor="text1"/>
          <w:sz w:val="24"/>
          <w:szCs w:val="24"/>
        </w:rPr>
        <w:t>Oxadiazon</w:t>
      </w:r>
      <w:proofErr w:type="spellEnd"/>
      <w:r w:rsidRPr="00A41727">
        <w:rPr>
          <w:rFonts w:ascii="Arial" w:hAnsi="Arial" w:cs="Arial"/>
          <w:color w:val="000000" w:themeColor="text1"/>
          <w:sz w:val="24"/>
          <w:szCs w:val="24"/>
        </w:rPr>
        <w:t xml:space="preserve"> produced continual crop injury leading to death. There were generally higher visual injury, stunting and greater reductions in plant height and root length with </w:t>
      </w:r>
      <w:proofErr w:type="spellStart"/>
      <w:r w:rsidRPr="00A41727">
        <w:rPr>
          <w:rFonts w:ascii="Arial" w:hAnsi="Arial" w:cs="Arial"/>
          <w:color w:val="000000" w:themeColor="text1"/>
          <w:sz w:val="24"/>
          <w:szCs w:val="24"/>
        </w:rPr>
        <w:t>metolachlor</w:t>
      </w:r>
      <w:proofErr w:type="spellEnd"/>
      <w:r w:rsidRPr="00A41727">
        <w:rPr>
          <w:rFonts w:ascii="Arial" w:hAnsi="Arial" w:cs="Arial"/>
          <w:color w:val="000000" w:themeColor="text1"/>
          <w:sz w:val="24"/>
          <w:szCs w:val="24"/>
        </w:rPr>
        <w:t xml:space="preserve"> and </w:t>
      </w:r>
      <w:proofErr w:type="spellStart"/>
      <w:r w:rsidRPr="00A41727">
        <w:rPr>
          <w:rFonts w:ascii="Arial" w:hAnsi="Arial" w:cs="Arial"/>
          <w:color w:val="000000" w:themeColor="text1"/>
          <w:sz w:val="24"/>
          <w:szCs w:val="24"/>
        </w:rPr>
        <w:t>clomazone</w:t>
      </w:r>
      <w:proofErr w:type="spellEnd"/>
      <w:r w:rsidRPr="00A41727">
        <w:rPr>
          <w:rFonts w:ascii="Arial" w:hAnsi="Arial" w:cs="Arial"/>
          <w:color w:val="000000" w:themeColor="text1"/>
          <w:sz w:val="24"/>
          <w:szCs w:val="24"/>
        </w:rPr>
        <w:t xml:space="preserve"> at the higher dose compared to lower dose although the results were always statistically significant.</w:t>
      </w:r>
    </w:p>
    <w:p w:rsidR="00A41727" w:rsidRPr="00A41727" w:rsidRDefault="00A41727" w:rsidP="00A41727">
      <w:pPr>
        <w:spacing w:line="360" w:lineRule="auto"/>
        <w:jc w:val="both"/>
        <w:rPr>
          <w:rFonts w:ascii="Arial" w:hAnsi="Arial" w:cs="Arial"/>
          <w:color w:val="000000" w:themeColor="text1"/>
          <w:sz w:val="24"/>
          <w:szCs w:val="24"/>
        </w:rPr>
      </w:pPr>
      <w:r w:rsidRPr="00A41727">
        <w:rPr>
          <w:rFonts w:ascii="Arial" w:hAnsi="Arial" w:cs="Arial"/>
          <w:color w:val="000000" w:themeColor="text1"/>
          <w:sz w:val="24"/>
          <w:szCs w:val="24"/>
        </w:rPr>
        <w:t xml:space="preserve">The PREE applications of </w:t>
      </w:r>
      <w:proofErr w:type="spellStart"/>
      <w:r w:rsidRPr="00A41727">
        <w:rPr>
          <w:rFonts w:ascii="Arial" w:hAnsi="Arial" w:cs="Arial"/>
          <w:color w:val="000000" w:themeColor="text1"/>
          <w:sz w:val="24"/>
          <w:szCs w:val="24"/>
        </w:rPr>
        <w:t>Halosulfuron</w:t>
      </w:r>
      <w:proofErr w:type="spellEnd"/>
      <w:r w:rsidRPr="00A41727">
        <w:rPr>
          <w:rFonts w:ascii="Arial" w:hAnsi="Arial" w:cs="Arial"/>
          <w:color w:val="000000" w:themeColor="text1"/>
          <w:sz w:val="24"/>
          <w:szCs w:val="24"/>
        </w:rPr>
        <w:t xml:space="preserve"> resulted in minimal (less than 11%) and ephemeral visual injury on broccoli. Furthermore on the potentiality of sulfonylurea family to be recommended for broccoli is according to the findings of (</w:t>
      </w:r>
      <w:proofErr w:type="spellStart"/>
      <w:r w:rsidRPr="00A41727">
        <w:rPr>
          <w:rFonts w:ascii="Arial" w:hAnsi="Arial" w:cs="Arial"/>
          <w:color w:val="000000" w:themeColor="text1"/>
          <w:sz w:val="24"/>
          <w:szCs w:val="24"/>
        </w:rPr>
        <w:t>Umeada</w:t>
      </w:r>
      <w:proofErr w:type="spellEnd"/>
      <w:r w:rsidRPr="00A41727">
        <w:rPr>
          <w:rFonts w:ascii="Arial" w:hAnsi="Arial" w:cs="Arial"/>
          <w:color w:val="000000" w:themeColor="text1"/>
          <w:sz w:val="24"/>
          <w:szCs w:val="24"/>
        </w:rPr>
        <w:t xml:space="preserve">, 1999) it was reported that applying </w:t>
      </w:r>
      <w:proofErr w:type="spellStart"/>
      <w:r w:rsidRPr="00A41727">
        <w:rPr>
          <w:rFonts w:ascii="Arial" w:hAnsi="Arial" w:cs="Arial"/>
          <w:color w:val="000000" w:themeColor="text1"/>
          <w:sz w:val="24"/>
          <w:szCs w:val="24"/>
        </w:rPr>
        <w:t>thifensulfuron</w:t>
      </w:r>
      <w:proofErr w:type="spellEnd"/>
      <w:r w:rsidRPr="00A41727">
        <w:rPr>
          <w:rFonts w:ascii="Arial" w:hAnsi="Arial" w:cs="Arial"/>
          <w:color w:val="000000" w:themeColor="text1"/>
          <w:sz w:val="24"/>
          <w:szCs w:val="24"/>
        </w:rPr>
        <w:t xml:space="preserve"> at 0.003 and 0.004l/ha did not cause any broccoli stand reduction. It was also stated that none of the treatments used caused any obvious crop stunting as the crop approached maturity, no weeds were present during the broccoli crop establishment period, therefore, no weed control efficacy was evaluated, although it was suggested that the herbicide should be tested again to evaluate weed control efficacy at the selected rates since crop tolerance was confirmed.</w:t>
      </w:r>
    </w:p>
    <w:p w:rsidR="00A41727" w:rsidRPr="00A41727" w:rsidRDefault="00A41727" w:rsidP="00A41727">
      <w:pPr>
        <w:spacing w:line="360" w:lineRule="auto"/>
        <w:jc w:val="both"/>
        <w:rPr>
          <w:rFonts w:ascii="Arial" w:hAnsi="Arial" w:cs="Arial"/>
          <w:color w:val="000000" w:themeColor="text1"/>
          <w:sz w:val="24"/>
          <w:szCs w:val="24"/>
        </w:rPr>
      </w:pPr>
      <w:r w:rsidRPr="00A41727">
        <w:rPr>
          <w:rFonts w:ascii="Arial" w:hAnsi="Arial" w:cs="Arial"/>
          <w:color w:val="000000" w:themeColor="text1"/>
          <w:sz w:val="24"/>
          <w:szCs w:val="24"/>
        </w:rPr>
        <w:t xml:space="preserve">Although broccoli tolerance to </w:t>
      </w:r>
      <w:proofErr w:type="spellStart"/>
      <w:r w:rsidRPr="00A41727">
        <w:rPr>
          <w:rFonts w:ascii="Arial" w:hAnsi="Arial" w:cs="Arial"/>
          <w:color w:val="000000" w:themeColor="text1"/>
          <w:sz w:val="24"/>
          <w:szCs w:val="24"/>
        </w:rPr>
        <w:t>Halosulfuron</w:t>
      </w:r>
      <w:proofErr w:type="spellEnd"/>
      <w:r w:rsidRPr="00A41727">
        <w:rPr>
          <w:rFonts w:ascii="Arial" w:hAnsi="Arial" w:cs="Arial"/>
          <w:color w:val="000000" w:themeColor="text1"/>
          <w:sz w:val="24"/>
          <w:szCs w:val="24"/>
        </w:rPr>
        <w:t xml:space="preserve"> was confirmed, further investigations into the variety of weed control and length of effective control that can be expected from </w:t>
      </w:r>
      <w:proofErr w:type="spellStart"/>
      <w:r w:rsidRPr="00A41727">
        <w:rPr>
          <w:rFonts w:ascii="Arial" w:hAnsi="Arial" w:cs="Arial"/>
          <w:color w:val="000000" w:themeColor="text1"/>
          <w:sz w:val="24"/>
          <w:szCs w:val="24"/>
        </w:rPr>
        <w:t>Halosulfuron</w:t>
      </w:r>
      <w:proofErr w:type="spellEnd"/>
      <w:r w:rsidRPr="00A41727">
        <w:rPr>
          <w:rFonts w:ascii="Arial" w:hAnsi="Arial" w:cs="Arial"/>
          <w:color w:val="000000" w:themeColor="text1"/>
          <w:sz w:val="24"/>
          <w:szCs w:val="24"/>
        </w:rPr>
        <w:t xml:space="preserve"> is needed.</w:t>
      </w:r>
    </w:p>
    <w:p w:rsidR="00A41727" w:rsidRPr="00A41727" w:rsidRDefault="00A41727" w:rsidP="00A41727">
      <w:pPr>
        <w:spacing w:line="360" w:lineRule="auto"/>
        <w:rPr>
          <w:rFonts w:ascii="Arial" w:hAnsi="Arial" w:cs="Arial"/>
          <w:color w:val="000000" w:themeColor="text1"/>
          <w:sz w:val="24"/>
          <w:szCs w:val="24"/>
        </w:rPr>
      </w:pPr>
    </w:p>
    <w:p w:rsidR="00A41727" w:rsidRPr="00A41727" w:rsidRDefault="00A41727" w:rsidP="00A41727">
      <w:pPr>
        <w:spacing w:line="360" w:lineRule="auto"/>
        <w:rPr>
          <w:rFonts w:ascii="Arial" w:hAnsi="Arial" w:cs="Arial"/>
          <w:color w:val="000000" w:themeColor="text1"/>
          <w:sz w:val="24"/>
          <w:szCs w:val="24"/>
        </w:rPr>
      </w:pPr>
      <w:r w:rsidRPr="00A41727">
        <w:rPr>
          <w:rFonts w:ascii="Arial" w:hAnsi="Arial" w:cs="Arial"/>
          <w:color w:val="000000" w:themeColor="text1"/>
          <w:sz w:val="24"/>
          <w:szCs w:val="24"/>
        </w:rPr>
        <w:t xml:space="preserve"> </w:t>
      </w:r>
    </w:p>
    <w:p w:rsidR="00986959" w:rsidRDefault="00986959" w:rsidP="00471274">
      <w:pPr>
        <w:spacing w:line="360" w:lineRule="auto"/>
        <w:rPr>
          <w:rFonts w:ascii="Arial" w:hAnsi="Arial" w:cs="Arial"/>
          <w:b/>
          <w:color w:val="000000" w:themeColor="text1"/>
          <w:sz w:val="24"/>
          <w:szCs w:val="24"/>
        </w:rPr>
      </w:pPr>
    </w:p>
    <w:p w:rsidR="00986959" w:rsidRDefault="00986959" w:rsidP="00471274">
      <w:pPr>
        <w:spacing w:line="360" w:lineRule="auto"/>
        <w:rPr>
          <w:rFonts w:ascii="Arial" w:hAnsi="Arial" w:cs="Arial"/>
          <w:b/>
          <w:color w:val="000000" w:themeColor="text1"/>
          <w:sz w:val="24"/>
          <w:szCs w:val="24"/>
        </w:rPr>
      </w:pPr>
    </w:p>
    <w:p w:rsidR="00986959" w:rsidRDefault="00986959" w:rsidP="00471274">
      <w:pPr>
        <w:spacing w:line="360" w:lineRule="auto"/>
        <w:rPr>
          <w:rFonts w:ascii="Arial" w:hAnsi="Arial" w:cs="Arial"/>
          <w:b/>
          <w:color w:val="000000" w:themeColor="text1"/>
          <w:sz w:val="24"/>
          <w:szCs w:val="24"/>
        </w:rPr>
      </w:pPr>
    </w:p>
    <w:p w:rsidR="00986959" w:rsidRDefault="00986959" w:rsidP="00471274">
      <w:pPr>
        <w:spacing w:line="360" w:lineRule="auto"/>
        <w:rPr>
          <w:rFonts w:ascii="Arial" w:hAnsi="Arial" w:cs="Arial"/>
          <w:b/>
          <w:color w:val="000000" w:themeColor="text1"/>
          <w:sz w:val="24"/>
          <w:szCs w:val="24"/>
        </w:rPr>
      </w:pPr>
    </w:p>
    <w:p w:rsidR="00986959" w:rsidRDefault="00986959" w:rsidP="00471274">
      <w:pPr>
        <w:spacing w:line="360" w:lineRule="auto"/>
        <w:rPr>
          <w:rFonts w:ascii="Arial" w:hAnsi="Arial" w:cs="Arial"/>
          <w:b/>
          <w:color w:val="000000" w:themeColor="text1"/>
          <w:sz w:val="24"/>
          <w:szCs w:val="24"/>
        </w:rPr>
      </w:pPr>
    </w:p>
    <w:p w:rsidR="00471274" w:rsidRDefault="00471274" w:rsidP="00471274">
      <w:pPr>
        <w:spacing w:line="360" w:lineRule="auto"/>
        <w:rPr>
          <w:rFonts w:ascii="Arial" w:hAnsi="Arial" w:cs="Arial"/>
          <w:b/>
          <w:color w:val="000000" w:themeColor="text1"/>
          <w:sz w:val="24"/>
          <w:szCs w:val="24"/>
        </w:rPr>
      </w:pPr>
      <w:bookmarkStart w:id="0" w:name="_GoBack"/>
      <w:bookmarkEnd w:id="0"/>
      <w:r w:rsidRPr="001E0344">
        <w:rPr>
          <w:rFonts w:ascii="Arial" w:hAnsi="Arial" w:cs="Arial"/>
          <w:b/>
          <w:color w:val="000000" w:themeColor="text1"/>
          <w:sz w:val="24"/>
          <w:szCs w:val="24"/>
        </w:rPr>
        <w:lastRenderedPageBreak/>
        <w:t>REFERENCES.</w:t>
      </w:r>
    </w:p>
    <w:p w:rsidR="00206A05" w:rsidRPr="00A41727" w:rsidRDefault="00206A05" w:rsidP="00A41727">
      <w:pPr>
        <w:tabs>
          <w:tab w:val="left" w:pos="0"/>
        </w:tabs>
        <w:suppressAutoHyphens/>
        <w:spacing w:line="360" w:lineRule="auto"/>
        <w:jc w:val="both"/>
        <w:rPr>
          <w:rFonts w:ascii="Arial" w:hAnsi="Arial" w:cs="Arial"/>
          <w:color w:val="000000" w:themeColor="text1"/>
          <w:sz w:val="24"/>
          <w:szCs w:val="24"/>
        </w:rPr>
      </w:pPr>
      <w:r w:rsidRPr="00A41727">
        <w:rPr>
          <w:rFonts w:ascii="Arial" w:hAnsi="Arial" w:cs="Arial"/>
          <w:color w:val="000000" w:themeColor="text1"/>
          <w:sz w:val="24"/>
          <w:szCs w:val="24"/>
        </w:rPr>
        <w:t xml:space="preserve">Bell, C.E., 2000. Weed control in carrots: The efficacy and economic value of </w:t>
      </w:r>
      <w:proofErr w:type="spellStart"/>
      <w:r w:rsidRPr="00A41727">
        <w:rPr>
          <w:rFonts w:ascii="Arial" w:hAnsi="Arial" w:cs="Arial"/>
          <w:color w:val="000000" w:themeColor="text1"/>
          <w:sz w:val="24"/>
          <w:szCs w:val="24"/>
        </w:rPr>
        <w:t>linuron</w:t>
      </w:r>
      <w:proofErr w:type="spellEnd"/>
      <w:r w:rsidRPr="00A41727">
        <w:rPr>
          <w:rFonts w:ascii="Arial" w:hAnsi="Arial" w:cs="Arial"/>
          <w:color w:val="000000" w:themeColor="text1"/>
          <w:sz w:val="24"/>
          <w:szCs w:val="24"/>
        </w:rPr>
        <w:t xml:space="preserve">. </w:t>
      </w:r>
      <w:proofErr w:type="spellStart"/>
      <w:r w:rsidRPr="00A41727">
        <w:rPr>
          <w:rFonts w:ascii="Arial" w:hAnsi="Arial" w:cs="Arial"/>
          <w:color w:val="000000" w:themeColor="text1"/>
          <w:sz w:val="24"/>
          <w:szCs w:val="24"/>
        </w:rPr>
        <w:t>Hortscience</w:t>
      </w:r>
      <w:proofErr w:type="spellEnd"/>
      <w:r w:rsidRPr="00A41727">
        <w:rPr>
          <w:rFonts w:ascii="Arial" w:hAnsi="Arial" w:cs="Arial"/>
          <w:color w:val="000000" w:themeColor="text1"/>
          <w:sz w:val="24"/>
          <w:szCs w:val="24"/>
        </w:rPr>
        <w:t xml:space="preserve"> 35: 1089-1091.</w:t>
      </w:r>
    </w:p>
    <w:p w:rsidR="00206A05" w:rsidRPr="00A41727" w:rsidRDefault="00206A05" w:rsidP="00A41727">
      <w:pPr>
        <w:autoSpaceDE w:val="0"/>
        <w:autoSpaceDN w:val="0"/>
        <w:adjustRightInd w:val="0"/>
        <w:spacing w:after="0" w:line="360" w:lineRule="auto"/>
        <w:jc w:val="both"/>
        <w:outlineLvl w:val="0"/>
        <w:rPr>
          <w:rFonts w:ascii="Arial" w:hAnsi="Arial" w:cs="Arial"/>
          <w:sz w:val="24"/>
          <w:szCs w:val="24"/>
        </w:rPr>
      </w:pPr>
      <w:r w:rsidRPr="00A41727">
        <w:rPr>
          <w:rFonts w:ascii="Arial" w:hAnsi="Arial" w:cs="Arial"/>
          <w:sz w:val="24"/>
          <w:szCs w:val="24"/>
        </w:rPr>
        <w:t xml:space="preserve">Brown, D., and </w:t>
      </w:r>
      <w:proofErr w:type="spellStart"/>
      <w:r w:rsidRPr="00A41727">
        <w:rPr>
          <w:rFonts w:ascii="Arial" w:hAnsi="Arial" w:cs="Arial"/>
          <w:sz w:val="24"/>
          <w:szCs w:val="24"/>
        </w:rPr>
        <w:t>Masiunas</w:t>
      </w:r>
      <w:proofErr w:type="spellEnd"/>
      <w:r w:rsidRPr="00A41727">
        <w:rPr>
          <w:rFonts w:ascii="Arial" w:hAnsi="Arial" w:cs="Arial"/>
          <w:sz w:val="24"/>
          <w:szCs w:val="24"/>
        </w:rPr>
        <w:t>, J., 2002. Evaluation of herbicides for pumpkin (</w:t>
      </w:r>
      <w:proofErr w:type="spellStart"/>
      <w:r w:rsidRPr="00A41727">
        <w:rPr>
          <w:rFonts w:ascii="Arial" w:hAnsi="Arial" w:cs="Arial"/>
          <w:sz w:val="24"/>
          <w:szCs w:val="24"/>
        </w:rPr>
        <w:t>Cucurbita</w:t>
      </w:r>
      <w:proofErr w:type="spellEnd"/>
      <w:r w:rsidRPr="00A41727">
        <w:rPr>
          <w:rFonts w:ascii="Arial" w:hAnsi="Arial" w:cs="Arial"/>
          <w:sz w:val="24"/>
          <w:szCs w:val="24"/>
        </w:rPr>
        <w:t xml:space="preserve"> spp.). Weed Technol. 16: 282–292. </w:t>
      </w:r>
      <w:proofErr w:type="gramStart"/>
      <w:r w:rsidRPr="00A41727">
        <w:rPr>
          <w:rFonts w:ascii="Arial" w:hAnsi="Arial" w:cs="Arial"/>
          <w:sz w:val="24"/>
          <w:szCs w:val="24"/>
        </w:rPr>
        <w:t>doi:</w:t>
      </w:r>
      <w:proofErr w:type="gramEnd"/>
      <w:r w:rsidRPr="00A41727">
        <w:rPr>
          <w:rFonts w:ascii="Arial" w:hAnsi="Arial" w:cs="Arial"/>
          <w:sz w:val="24"/>
          <w:szCs w:val="24"/>
        </w:rPr>
        <w:t>10.1614/0890-037X (2002)016 [0282:EOHFPC] 2.0.CO;2.</w:t>
      </w:r>
    </w:p>
    <w:p w:rsidR="00206A05" w:rsidRPr="00A41727" w:rsidRDefault="00206A05" w:rsidP="00A41727">
      <w:pPr>
        <w:autoSpaceDE w:val="0"/>
        <w:autoSpaceDN w:val="0"/>
        <w:adjustRightInd w:val="0"/>
        <w:spacing w:after="0" w:line="360" w:lineRule="auto"/>
        <w:jc w:val="both"/>
        <w:outlineLvl w:val="0"/>
        <w:rPr>
          <w:rFonts w:ascii="Arial" w:hAnsi="Arial" w:cs="Arial"/>
          <w:sz w:val="24"/>
          <w:szCs w:val="24"/>
        </w:rPr>
      </w:pPr>
    </w:p>
    <w:p w:rsidR="00206A05" w:rsidRPr="00A41727" w:rsidRDefault="00206A05" w:rsidP="00A41727">
      <w:pPr>
        <w:autoSpaceDE w:val="0"/>
        <w:autoSpaceDN w:val="0"/>
        <w:adjustRightInd w:val="0"/>
        <w:spacing w:after="0" w:line="360" w:lineRule="auto"/>
        <w:jc w:val="both"/>
        <w:outlineLvl w:val="0"/>
        <w:rPr>
          <w:rFonts w:ascii="Arial" w:hAnsi="Arial" w:cs="Arial"/>
          <w:sz w:val="24"/>
          <w:szCs w:val="24"/>
        </w:rPr>
      </w:pPr>
      <w:proofErr w:type="spellStart"/>
      <w:r w:rsidRPr="00A41727">
        <w:rPr>
          <w:rFonts w:ascii="Arial" w:hAnsi="Arial" w:cs="Arial"/>
          <w:sz w:val="24"/>
          <w:szCs w:val="24"/>
        </w:rPr>
        <w:t>Dermiyati</w:t>
      </w:r>
      <w:proofErr w:type="spellEnd"/>
      <w:r w:rsidRPr="00A41727">
        <w:rPr>
          <w:rFonts w:ascii="Arial" w:hAnsi="Arial" w:cs="Arial"/>
          <w:sz w:val="24"/>
          <w:szCs w:val="24"/>
        </w:rPr>
        <w:t xml:space="preserve">, S. K., and Yamamoto, I., 1997a. Degradation of the herbicide </w:t>
      </w:r>
      <w:proofErr w:type="spellStart"/>
      <w:r w:rsidRPr="00A41727">
        <w:rPr>
          <w:rFonts w:ascii="Arial" w:hAnsi="Arial" w:cs="Arial"/>
          <w:sz w:val="24"/>
          <w:szCs w:val="24"/>
        </w:rPr>
        <w:t>halosulfuron</w:t>
      </w:r>
      <w:proofErr w:type="spellEnd"/>
      <w:r w:rsidRPr="00A41727">
        <w:rPr>
          <w:rFonts w:ascii="Arial" w:hAnsi="Arial" w:cs="Arial"/>
          <w:sz w:val="24"/>
          <w:szCs w:val="24"/>
        </w:rPr>
        <w:t xml:space="preserve">-methyl in two soils under different environmental conditions. J. </w:t>
      </w:r>
      <w:proofErr w:type="spellStart"/>
      <w:r w:rsidRPr="00A41727">
        <w:rPr>
          <w:rFonts w:ascii="Arial" w:hAnsi="Arial" w:cs="Arial"/>
          <w:sz w:val="24"/>
          <w:szCs w:val="24"/>
        </w:rPr>
        <w:t>Pestic</w:t>
      </w:r>
      <w:proofErr w:type="spellEnd"/>
      <w:r w:rsidRPr="00A41727">
        <w:rPr>
          <w:rFonts w:ascii="Arial" w:hAnsi="Arial" w:cs="Arial"/>
          <w:sz w:val="24"/>
          <w:szCs w:val="24"/>
        </w:rPr>
        <w:t>. Sci. 22:282–287.</w:t>
      </w:r>
    </w:p>
    <w:p w:rsidR="00206A05" w:rsidRPr="00A41727" w:rsidRDefault="00206A05" w:rsidP="00A41727">
      <w:pPr>
        <w:autoSpaceDE w:val="0"/>
        <w:autoSpaceDN w:val="0"/>
        <w:adjustRightInd w:val="0"/>
        <w:spacing w:after="0" w:line="360" w:lineRule="auto"/>
        <w:jc w:val="both"/>
        <w:outlineLvl w:val="0"/>
        <w:rPr>
          <w:rFonts w:ascii="Arial" w:hAnsi="Arial" w:cs="Arial"/>
          <w:sz w:val="24"/>
          <w:szCs w:val="24"/>
        </w:rPr>
      </w:pPr>
    </w:p>
    <w:p w:rsidR="00206A05" w:rsidRPr="00A41727" w:rsidRDefault="00206A05" w:rsidP="00A41727">
      <w:pPr>
        <w:autoSpaceDE w:val="0"/>
        <w:autoSpaceDN w:val="0"/>
        <w:adjustRightInd w:val="0"/>
        <w:spacing w:after="0" w:line="360" w:lineRule="auto"/>
        <w:jc w:val="both"/>
        <w:outlineLvl w:val="0"/>
        <w:rPr>
          <w:rFonts w:ascii="Arial" w:hAnsi="Arial" w:cs="Arial"/>
          <w:sz w:val="24"/>
          <w:szCs w:val="24"/>
        </w:rPr>
      </w:pPr>
      <w:proofErr w:type="spellStart"/>
      <w:r w:rsidRPr="00A41727">
        <w:rPr>
          <w:rFonts w:ascii="Arial" w:hAnsi="Arial" w:cs="Arial"/>
          <w:sz w:val="24"/>
          <w:szCs w:val="24"/>
        </w:rPr>
        <w:t>Dermiyati</w:t>
      </w:r>
      <w:proofErr w:type="spellEnd"/>
      <w:r w:rsidRPr="00A41727">
        <w:rPr>
          <w:rFonts w:ascii="Arial" w:hAnsi="Arial" w:cs="Arial"/>
          <w:sz w:val="24"/>
          <w:szCs w:val="24"/>
        </w:rPr>
        <w:t xml:space="preserve">, S. K., and Yamamoto, I., 1997b. Relationships between soil properties and sorption </w:t>
      </w:r>
      <w:proofErr w:type="spellStart"/>
      <w:r w:rsidRPr="00A41727">
        <w:rPr>
          <w:rFonts w:ascii="Arial" w:hAnsi="Arial" w:cs="Arial"/>
          <w:sz w:val="24"/>
          <w:szCs w:val="24"/>
        </w:rPr>
        <w:t>behavior</w:t>
      </w:r>
      <w:proofErr w:type="spellEnd"/>
      <w:r w:rsidRPr="00A41727">
        <w:rPr>
          <w:rFonts w:ascii="Arial" w:hAnsi="Arial" w:cs="Arial"/>
          <w:sz w:val="24"/>
          <w:szCs w:val="24"/>
        </w:rPr>
        <w:t xml:space="preserve"> of the herbicide </w:t>
      </w:r>
      <w:proofErr w:type="spellStart"/>
      <w:r w:rsidRPr="00A41727">
        <w:rPr>
          <w:rFonts w:ascii="Arial" w:hAnsi="Arial" w:cs="Arial"/>
          <w:sz w:val="24"/>
          <w:szCs w:val="24"/>
        </w:rPr>
        <w:t>halosulfuron</w:t>
      </w:r>
      <w:proofErr w:type="spellEnd"/>
      <w:r w:rsidRPr="00A41727">
        <w:rPr>
          <w:rFonts w:ascii="Arial" w:hAnsi="Arial" w:cs="Arial"/>
          <w:sz w:val="24"/>
          <w:szCs w:val="24"/>
        </w:rPr>
        <w:t xml:space="preserve">-methyl in selected Japanese soils. J. </w:t>
      </w:r>
      <w:proofErr w:type="spellStart"/>
      <w:r w:rsidRPr="00A41727">
        <w:rPr>
          <w:rFonts w:ascii="Arial" w:hAnsi="Arial" w:cs="Arial"/>
          <w:sz w:val="24"/>
          <w:szCs w:val="24"/>
        </w:rPr>
        <w:t>Pestic</w:t>
      </w:r>
      <w:proofErr w:type="spellEnd"/>
      <w:r w:rsidRPr="00A41727">
        <w:rPr>
          <w:rFonts w:ascii="Arial" w:hAnsi="Arial" w:cs="Arial"/>
          <w:sz w:val="24"/>
          <w:szCs w:val="24"/>
        </w:rPr>
        <w:t>. Sci. 22:288–292.</w:t>
      </w:r>
    </w:p>
    <w:p w:rsidR="00206A05" w:rsidRPr="00A41727" w:rsidRDefault="00206A05" w:rsidP="00A41727">
      <w:pPr>
        <w:spacing w:before="240" w:line="360" w:lineRule="auto"/>
        <w:jc w:val="both"/>
        <w:rPr>
          <w:rFonts w:ascii="Arial" w:hAnsi="Arial" w:cs="Arial"/>
          <w:sz w:val="24"/>
          <w:szCs w:val="24"/>
        </w:rPr>
      </w:pPr>
      <w:r w:rsidRPr="00A41727">
        <w:rPr>
          <w:rFonts w:ascii="Arial" w:hAnsi="Arial" w:cs="Arial"/>
          <w:sz w:val="24"/>
          <w:szCs w:val="24"/>
        </w:rPr>
        <w:t xml:space="preserve">Dillard, H.R., </w:t>
      </w:r>
      <w:proofErr w:type="spellStart"/>
      <w:r w:rsidRPr="00A41727">
        <w:rPr>
          <w:rFonts w:ascii="Arial" w:hAnsi="Arial" w:cs="Arial"/>
          <w:sz w:val="24"/>
          <w:szCs w:val="24"/>
        </w:rPr>
        <w:t>Bellinder</w:t>
      </w:r>
      <w:proofErr w:type="spellEnd"/>
      <w:r w:rsidRPr="00A41727">
        <w:rPr>
          <w:rFonts w:ascii="Arial" w:hAnsi="Arial" w:cs="Arial"/>
          <w:sz w:val="24"/>
          <w:szCs w:val="24"/>
        </w:rPr>
        <w:t xml:space="preserve"> R.R. and Shah D.A., 2004. Integrated Management of Weeds and Diseases in Brassica Cropping System. </w:t>
      </w:r>
      <w:r w:rsidRPr="00A41727">
        <w:rPr>
          <w:rFonts w:ascii="Arial" w:hAnsi="Arial" w:cs="Arial"/>
          <w:i/>
          <w:sz w:val="24"/>
          <w:szCs w:val="24"/>
        </w:rPr>
        <w:t>Crop-Protection.</w:t>
      </w:r>
      <w:r w:rsidRPr="00A41727">
        <w:rPr>
          <w:rFonts w:ascii="Arial" w:hAnsi="Arial" w:cs="Arial"/>
          <w:sz w:val="24"/>
          <w:szCs w:val="24"/>
        </w:rPr>
        <w:t xml:space="preserve"> 23: (2): 160-175.</w:t>
      </w:r>
    </w:p>
    <w:p w:rsidR="00836E96" w:rsidRPr="00A41727" w:rsidRDefault="00836E96" w:rsidP="00A41727">
      <w:pPr>
        <w:autoSpaceDE w:val="0"/>
        <w:autoSpaceDN w:val="0"/>
        <w:adjustRightInd w:val="0"/>
        <w:spacing w:after="0" w:line="360" w:lineRule="auto"/>
        <w:jc w:val="both"/>
        <w:outlineLvl w:val="0"/>
        <w:rPr>
          <w:rFonts w:ascii="Arial" w:hAnsi="Arial" w:cs="Arial"/>
          <w:sz w:val="24"/>
          <w:szCs w:val="24"/>
        </w:rPr>
      </w:pPr>
      <w:proofErr w:type="spellStart"/>
      <w:r w:rsidRPr="00A41727">
        <w:rPr>
          <w:rFonts w:ascii="Arial" w:hAnsi="Arial" w:cs="Arial"/>
          <w:sz w:val="24"/>
          <w:szCs w:val="24"/>
        </w:rPr>
        <w:t>Gray</w:t>
      </w:r>
      <w:proofErr w:type="spellEnd"/>
      <w:r w:rsidRPr="00A41727">
        <w:rPr>
          <w:rFonts w:ascii="Arial" w:hAnsi="Arial" w:cs="Arial"/>
          <w:sz w:val="24"/>
          <w:szCs w:val="24"/>
        </w:rPr>
        <w:t xml:space="preserve">, A.R., 1982. Taxonomy and evolution of broccoli (Brassica </w:t>
      </w:r>
      <w:proofErr w:type="spellStart"/>
      <w:r w:rsidRPr="00A41727">
        <w:rPr>
          <w:rFonts w:ascii="Arial" w:hAnsi="Arial" w:cs="Arial"/>
          <w:sz w:val="24"/>
          <w:szCs w:val="24"/>
        </w:rPr>
        <w:t>oleracea</w:t>
      </w:r>
      <w:proofErr w:type="spellEnd"/>
      <w:r w:rsidRPr="00A41727">
        <w:rPr>
          <w:rFonts w:ascii="Arial" w:hAnsi="Arial" w:cs="Arial"/>
          <w:sz w:val="24"/>
          <w:szCs w:val="24"/>
        </w:rPr>
        <w:t xml:space="preserve"> var. </w:t>
      </w:r>
      <w:proofErr w:type="spellStart"/>
      <w:r w:rsidRPr="00A41727">
        <w:rPr>
          <w:rFonts w:ascii="Arial" w:hAnsi="Arial" w:cs="Arial"/>
          <w:sz w:val="24"/>
          <w:szCs w:val="24"/>
        </w:rPr>
        <w:t>italica</w:t>
      </w:r>
      <w:proofErr w:type="spellEnd"/>
      <w:r w:rsidRPr="00A41727">
        <w:rPr>
          <w:rFonts w:ascii="Arial" w:hAnsi="Arial" w:cs="Arial"/>
          <w:sz w:val="24"/>
          <w:szCs w:val="24"/>
        </w:rPr>
        <w:t>). Econ. Bot., 36 (4): 397-410.</w:t>
      </w:r>
    </w:p>
    <w:p w:rsidR="00206A05" w:rsidRPr="00A41727" w:rsidRDefault="00206A05" w:rsidP="00A41727">
      <w:pPr>
        <w:spacing w:before="240" w:line="360" w:lineRule="auto"/>
        <w:jc w:val="both"/>
        <w:rPr>
          <w:rFonts w:ascii="Arial" w:hAnsi="Arial" w:cs="Arial"/>
          <w:sz w:val="24"/>
          <w:szCs w:val="24"/>
        </w:rPr>
      </w:pPr>
      <w:proofErr w:type="spellStart"/>
      <w:r w:rsidRPr="00A41727">
        <w:rPr>
          <w:rFonts w:ascii="Arial" w:hAnsi="Arial" w:cs="Arial"/>
          <w:sz w:val="24"/>
          <w:szCs w:val="24"/>
        </w:rPr>
        <w:t>Menalled</w:t>
      </w:r>
      <w:proofErr w:type="spellEnd"/>
      <w:r w:rsidRPr="00A41727">
        <w:rPr>
          <w:rFonts w:ascii="Arial" w:hAnsi="Arial" w:cs="Arial"/>
          <w:sz w:val="24"/>
          <w:szCs w:val="24"/>
        </w:rPr>
        <w:t>, F., and Dyer, W.E., 2005.</w:t>
      </w:r>
      <w:r w:rsidRPr="00A41727">
        <w:rPr>
          <w:rFonts w:ascii="Arial" w:hAnsi="Arial" w:cs="Arial"/>
          <w:sz w:val="24"/>
          <w:szCs w:val="24"/>
        </w:rPr>
        <w:t xml:space="preserve"> </w:t>
      </w:r>
      <w:r w:rsidRPr="00A41727">
        <w:rPr>
          <w:rFonts w:ascii="Arial" w:hAnsi="Arial" w:cs="Arial"/>
          <w:sz w:val="24"/>
          <w:szCs w:val="24"/>
        </w:rPr>
        <w:t xml:space="preserve">Data from soil applied herbicides. Available online: </w:t>
      </w:r>
      <w:r w:rsidRPr="00A41727">
        <w:rPr>
          <w:rFonts w:ascii="Arial" w:hAnsi="Arial" w:cs="Arial"/>
          <w:sz w:val="24"/>
          <w:szCs w:val="24"/>
          <w:u w:val="single"/>
        </w:rPr>
        <w:t>http://scarb.MSU.montana.edu/cropweedsearch/</w:t>
      </w:r>
      <w:r w:rsidRPr="00A41727">
        <w:rPr>
          <w:rFonts w:ascii="Arial" w:hAnsi="Arial" w:cs="Arial"/>
          <w:sz w:val="24"/>
          <w:szCs w:val="24"/>
        </w:rPr>
        <w:t xml:space="preserve"> .Accessed: October 28, 2017. </w:t>
      </w:r>
    </w:p>
    <w:p w:rsidR="00206A05" w:rsidRPr="00A41727" w:rsidRDefault="00206A05" w:rsidP="00A41727">
      <w:pPr>
        <w:autoSpaceDE w:val="0"/>
        <w:autoSpaceDN w:val="0"/>
        <w:adjustRightInd w:val="0"/>
        <w:spacing w:after="0" w:line="360" w:lineRule="auto"/>
        <w:jc w:val="both"/>
        <w:outlineLvl w:val="0"/>
        <w:rPr>
          <w:rFonts w:ascii="Arial" w:hAnsi="Arial" w:cs="Arial"/>
          <w:sz w:val="24"/>
          <w:szCs w:val="24"/>
        </w:rPr>
      </w:pPr>
      <w:proofErr w:type="spellStart"/>
      <w:r w:rsidRPr="00A41727">
        <w:rPr>
          <w:rFonts w:ascii="Arial" w:hAnsi="Arial" w:cs="Arial"/>
          <w:sz w:val="24"/>
          <w:szCs w:val="24"/>
        </w:rPr>
        <w:t>Senseman</w:t>
      </w:r>
      <w:proofErr w:type="spellEnd"/>
      <w:r w:rsidRPr="00A41727">
        <w:rPr>
          <w:rFonts w:ascii="Arial" w:hAnsi="Arial" w:cs="Arial"/>
          <w:sz w:val="24"/>
          <w:szCs w:val="24"/>
        </w:rPr>
        <w:t>, S.A. 2007. Herbicide handbook, 9th ed. Weed Science Society of American, Champaign, IL, pp. 76–78.</w:t>
      </w:r>
    </w:p>
    <w:p w:rsidR="00206A05" w:rsidRPr="00A41727" w:rsidRDefault="00206A05" w:rsidP="00A41727">
      <w:pPr>
        <w:spacing w:before="240" w:line="360" w:lineRule="auto"/>
        <w:jc w:val="both"/>
        <w:rPr>
          <w:rFonts w:ascii="Arial" w:hAnsi="Arial" w:cs="Arial"/>
          <w:b/>
          <w:sz w:val="24"/>
          <w:szCs w:val="24"/>
        </w:rPr>
      </w:pPr>
      <w:r w:rsidRPr="00A41727">
        <w:rPr>
          <w:rFonts w:ascii="Arial" w:hAnsi="Arial" w:cs="Arial"/>
          <w:sz w:val="24"/>
          <w:szCs w:val="24"/>
        </w:rPr>
        <w:t>Sharma, S.R., 2004. A Review of Hybrid Cauliflower Development</w:t>
      </w:r>
      <w:r w:rsidRPr="00A41727">
        <w:rPr>
          <w:rFonts w:ascii="Arial" w:hAnsi="Arial" w:cs="Arial"/>
          <w:i/>
          <w:sz w:val="24"/>
          <w:szCs w:val="24"/>
        </w:rPr>
        <w:t xml:space="preserve">: Journal of New Seeds. </w:t>
      </w:r>
      <w:proofErr w:type="spellStart"/>
      <w:r w:rsidRPr="00A41727">
        <w:rPr>
          <w:rFonts w:ascii="Arial" w:hAnsi="Arial" w:cs="Arial"/>
          <w:i/>
          <w:sz w:val="24"/>
          <w:szCs w:val="24"/>
        </w:rPr>
        <w:t>Vol</w:t>
      </w:r>
      <w:proofErr w:type="spellEnd"/>
      <w:r w:rsidRPr="00A41727">
        <w:rPr>
          <w:rFonts w:ascii="Arial" w:hAnsi="Arial" w:cs="Arial"/>
          <w:i/>
          <w:sz w:val="24"/>
          <w:szCs w:val="24"/>
        </w:rPr>
        <w:t xml:space="preserve"> </w:t>
      </w:r>
      <w:r w:rsidRPr="00A41727">
        <w:rPr>
          <w:rFonts w:ascii="Arial" w:hAnsi="Arial" w:cs="Arial"/>
          <w:sz w:val="24"/>
          <w:szCs w:val="24"/>
        </w:rPr>
        <w:t>6.1-4</w:t>
      </w:r>
      <w:r w:rsidRPr="00A41727">
        <w:rPr>
          <w:rFonts w:ascii="Arial" w:hAnsi="Arial" w:cs="Arial"/>
          <w:b/>
          <w:sz w:val="24"/>
          <w:szCs w:val="24"/>
        </w:rPr>
        <w:t>.</w:t>
      </w:r>
    </w:p>
    <w:p w:rsidR="00206A05" w:rsidRPr="00A41727" w:rsidRDefault="00206A05" w:rsidP="00A41727">
      <w:pPr>
        <w:autoSpaceDE w:val="0"/>
        <w:autoSpaceDN w:val="0"/>
        <w:adjustRightInd w:val="0"/>
        <w:spacing w:after="0" w:line="360" w:lineRule="auto"/>
        <w:jc w:val="both"/>
        <w:outlineLvl w:val="0"/>
        <w:rPr>
          <w:rFonts w:ascii="Arial" w:hAnsi="Arial" w:cs="Arial"/>
          <w:sz w:val="24"/>
          <w:szCs w:val="24"/>
        </w:rPr>
      </w:pPr>
      <w:proofErr w:type="spellStart"/>
      <w:r w:rsidRPr="00A41727">
        <w:rPr>
          <w:rFonts w:ascii="Arial" w:hAnsi="Arial" w:cs="Arial"/>
          <w:sz w:val="24"/>
          <w:szCs w:val="24"/>
        </w:rPr>
        <w:t>Soltani</w:t>
      </w:r>
      <w:proofErr w:type="spellEnd"/>
      <w:r w:rsidRPr="00A41727">
        <w:rPr>
          <w:rFonts w:ascii="Arial" w:hAnsi="Arial" w:cs="Arial"/>
          <w:sz w:val="24"/>
          <w:szCs w:val="24"/>
        </w:rPr>
        <w:t xml:space="preserve">, N., Nurse, R.E., Shropshire, C., and </w:t>
      </w:r>
      <w:proofErr w:type="spellStart"/>
      <w:r w:rsidRPr="00A41727">
        <w:rPr>
          <w:rFonts w:ascii="Arial" w:hAnsi="Arial" w:cs="Arial"/>
          <w:sz w:val="24"/>
          <w:szCs w:val="24"/>
        </w:rPr>
        <w:t>Sikkema</w:t>
      </w:r>
      <w:proofErr w:type="spellEnd"/>
      <w:r w:rsidRPr="00A41727">
        <w:rPr>
          <w:rFonts w:ascii="Arial" w:hAnsi="Arial" w:cs="Arial"/>
          <w:sz w:val="24"/>
          <w:szCs w:val="24"/>
        </w:rPr>
        <w:t xml:space="preserve">, P.H., 2009. Effect of </w:t>
      </w:r>
      <w:proofErr w:type="spellStart"/>
      <w:r w:rsidRPr="00A41727">
        <w:rPr>
          <w:rFonts w:ascii="Arial" w:hAnsi="Arial" w:cs="Arial"/>
          <w:sz w:val="24"/>
          <w:szCs w:val="24"/>
        </w:rPr>
        <w:t>halosulfuron</w:t>
      </w:r>
      <w:proofErr w:type="spellEnd"/>
      <w:r w:rsidRPr="00A41727">
        <w:rPr>
          <w:rFonts w:ascii="Arial" w:hAnsi="Arial" w:cs="Arial"/>
          <w:sz w:val="24"/>
          <w:szCs w:val="24"/>
        </w:rPr>
        <w:t xml:space="preserve"> applied </w:t>
      </w:r>
      <w:proofErr w:type="spellStart"/>
      <w:r w:rsidRPr="00A41727">
        <w:rPr>
          <w:rFonts w:ascii="Arial" w:hAnsi="Arial" w:cs="Arial"/>
          <w:sz w:val="24"/>
          <w:szCs w:val="24"/>
        </w:rPr>
        <w:t>preplant</w:t>
      </w:r>
      <w:proofErr w:type="spellEnd"/>
      <w:r w:rsidRPr="00A41727">
        <w:rPr>
          <w:rFonts w:ascii="Arial" w:hAnsi="Arial" w:cs="Arial"/>
          <w:sz w:val="24"/>
          <w:szCs w:val="24"/>
        </w:rPr>
        <w:t xml:space="preserve"> incorporated, </w:t>
      </w:r>
      <w:proofErr w:type="spellStart"/>
      <w:r w:rsidRPr="00A41727">
        <w:rPr>
          <w:rFonts w:ascii="Arial" w:hAnsi="Arial" w:cs="Arial"/>
          <w:sz w:val="24"/>
          <w:szCs w:val="24"/>
        </w:rPr>
        <w:t>preemergence</w:t>
      </w:r>
      <w:proofErr w:type="spellEnd"/>
      <w:r w:rsidRPr="00A41727">
        <w:rPr>
          <w:rFonts w:ascii="Arial" w:hAnsi="Arial" w:cs="Arial"/>
          <w:sz w:val="24"/>
          <w:szCs w:val="24"/>
        </w:rPr>
        <w:t xml:space="preserve">, and </w:t>
      </w:r>
      <w:proofErr w:type="spellStart"/>
      <w:r w:rsidRPr="00A41727">
        <w:rPr>
          <w:rFonts w:ascii="Arial" w:hAnsi="Arial" w:cs="Arial"/>
          <w:sz w:val="24"/>
          <w:szCs w:val="24"/>
        </w:rPr>
        <w:t>postemergence</w:t>
      </w:r>
      <w:proofErr w:type="spellEnd"/>
      <w:r w:rsidRPr="00A41727">
        <w:rPr>
          <w:rFonts w:ascii="Arial" w:hAnsi="Arial" w:cs="Arial"/>
          <w:sz w:val="24"/>
          <w:szCs w:val="24"/>
        </w:rPr>
        <w:t xml:space="preserve"> on dry bean. Weed Technol. 23: 535–539. doi:10.1614/WT-09-047.1.</w:t>
      </w:r>
    </w:p>
    <w:p w:rsidR="00A41727" w:rsidRPr="00A41727" w:rsidRDefault="00A41727" w:rsidP="00A41727">
      <w:pPr>
        <w:autoSpaceDE w:val="0"/>
        <w:autoSpaceDN w:val="0"/>
        <w:adjustRightInd w:val="0"/>
        <w:spacing w:after="0" w:line="360" w:lineRule="auto"/>
        <w:jc w:val="both"/>
        <w:outlineLvl w:val="0"/>
        <w:rPr>
          <w:rFonts w:ascii="Arial" w:hAnsi="Arial" w:cs="Arial"/>
          <w:sz w:val="24"/>
          <w:szCs w:val="24"/>
        </w:rPr>
      </w:pPr>
    </w:p>
    <w:p w:rsidR="00206A05" w:rsidRPr="00A41727" w:rsidRDefault="00206A05" w:rsidP="00A41727">
      <w:pPr>
        <w:autoSpaceDE w:val="0"/>
        <w:autoSpaceDN w:val="0"/>
        <w:adjustRightInd w:val="0"/>
        <w:spacing w:after="0" w:line="360" w:lineRule="auto"/>
        <w:jc w:val="both"/>
        <w:outlineLvl w:val="0"/>
        <w:rPr>
          <w:rFonts w:ascii="Arial" w:hAnsi="Arial" w:cs="Arial"/>
          <w:sz w:val="24"/>
          <w:szCs w:val="24"/>
        </w:rPr>
      </w:pPr>
      <w:proofErr w:type="spellStart"/>
      <w:r w:rsidRPr="00A41727">
        <w:rPr>
          <w:rFonts w:ascii="Arial" w:hAnsi="Arial" w:cs="Arial"/>
          <w:sz w:val="24"/>
          <w:szCs w:val="24"/>
        </w:rPr>
        <w:lastRenderedPageBreak/>
        <w:t>Soltani</w:t>
      </w:r>
      <w:proofErr w:type="spellEnd"/>
      <w:r w:rsidRPr="00A41727">
        <w:rPr>
          <w:rFonts w:ascii="Arial" w:hAnsi="Arial" w:cs="Arial"/>
          <w:sz w:val="24"/>
          <w:szCs w:val="24"/>
        </w:rPr>
        <w:t xml:space="preserve">, N., Shropshire, C., and </w:t>
      </w:r>
      <w:proofErr w:type="spellStart"/>
      <w:r w:rsidRPr="00A41727">
        <w:rPr>
          <w:rFonts w:ascii="Arial" w:hAnsi="Arial" w:cs="Arial"/>
          <w:sz w:val="24"/>
          <w:szCs w:val="24"/>
        </w:rPr>
        <w:t>Sikkema</w:t>
      </w:r>
      <w:proofErr w:type="spellEnd"/>
      <w:r w:rsidRPr="00A41727">
        <w:rPr>
          <w:rFonts w:ascii="Arial" w:hAnsi="Arial" w:cs="Arial"/>
          <w:sz w:val="24"/>
          <w:szCs w:val="24"/>
        </w:rPr>
        <w:t xml:space="preserve">, P.H., 2012a. Response of dry beans to </w:t>
      </w:r>
      <w:proofErr w:type="spellStart"/>
      <w:r w:rsidRPr="00A41727">
        <w:rPr>
          <w:rFonts w:ascii="Arial" w:hAnsi="Arial" w:cs="Arial"/>
          <w:sz w:val="24"/>
          <w:szCs w:val="24"/>
        </w:rPr>
        <w:t>halosulfuron</w:t>
      </w:r>
      <w:proofErr w:type="spellEnd"/>
      <w:r w:rsidRPr="00A41727">
        <w:rPr>
          <w:rFonts w:ascii="Arial" w:hAnsi="Arial" w:cs="Arial"/>
          <w:sz w:val="24"/>
          <w:szCs w:val="24"/>
        </w:rPr>
        <w:t xml:space="preserve"> applied </w:t>
      </w:r>
      <w:proofErr w:type="spellStart"/>
      <w:r w:rsidRPr="00A41727">
        <w:rPr>
          <w:rFonts w:ascii="Arial" w:hAnsi="Arial" w:cs="Arial"/>
          <w:sz w:val="24"/>
          <w:szCs w:val="24"/>
        </w:rPr>
        <w:t>postemergence</w:t>
      </w:r>
      <w:proofErr w:type="spellEnd"/>
      <w:r w:rsidRPr="00A41727">
        <w:rPr>
          <w:rFonts w:ascii="Arial" w:hAnsi="Arial" w:cs="Arial"/>
          <w:sz w:val="24"/>
          <w:szCs w:val="24"/>
        </w:rPr>
        <w:t xml:space="preserve">. Can. J. Plant Sci. 92: 723–728. </w:t>
      </w:r>
    </w:p>
    <w:p w:rsidR="00206A05" w:rsidRPr="00A41727" w:rsidRDefault="00206A05" w:rsidP="00A41727">
      <w:pPr>
        <w:autoSpaceDE w:val="0"/>
        <w:autoSpaceDN w:val="0"/>
        <w:adjustRightInd w:val="0"/>
        <w:spacing w:after="0" w:line="360" w:lineRule="auto"/>
        <w:jc w:val="both"/>
        <w:outlineLvl w:val="0"/>
        <w:rPr>
          <w:rFonts w:ascii="Arial" w:hAnsi="Arial" w:cs="Arial"/>
          <w:b/>
          <w:sz w:val="24"/>
          <w:szCs w:val="24"/>
        </w:rPr>
      </w:pPr>
    </w:p>
    <w:p w:rsidR="00206A05" w:rsidRPr="00A41727" w:rsidRDefault="00206A05" w:rsidP="00A41727">
      <w:pPr>
        <w:autoSpaceDE w:val="0"/>
        <w:autoSpaceDN w:val="0"/>
        <w:adjustRightInd w:val="0"/>
        <w:spacing w:after="0" w:line="360" w:lineRule="auto"/>
        <w:jc w:val="both"/>
        <w:outlineLvl w:val="0"/>
        <w:rPr>
          <w:rFonts w:ascii="Arial" w:hAnsi="Arial" w:cs="Arial"/>
          <w:sz w:val="24"/>
          <w:szCs w:val="24"/>
        </w:rPr>
      </w:pPr>
      <w:proofErr w:type="spellStart"/>
      <w:r w:rsidRPr="00A41727">
        <w:rPr>
          <w:rFonts w:ascii="Arial" w:hAnsi="Arial" w:cs="Arial"/>
          <w:sz w:val="24"/>
          <w:szCs w:val="24"/>
        </w:rPr>
        <w:t>Soltani</w:t>
      </w:r>
      <w:proofErr w:type="spellEnd"/>
      <w:r w:rsidRPr="00A41727">
        <w:rPr>
          <w:rFonts w:ascii="Arial" w:hAnsi="Arial" w:cs="Arial"/>
          <w:sz w:val="24"/>
          <w:szCs w:val="24"/>
        </w:rPr>
        <w:t xml:space="preserve">, N., Nurse, R.E., Shropshire, C., and </w:t>
      </w:r>
      <w:proofErr w:type="spellStart"/>
      <w:r w:rsidRPr="00A41727">
        <w:rPr>
          <w:rFonts w:ascii="Arial" w:hAnsi="Arial" w:cs="Arial"/>
          <w:sz w:val="24"/>
          <w:szCs w:val="24"/>
        </w:rPr>
        <w:t>Sikkema</w:t>
      </w:r>
      <w:proofErr w:type="spellEnd"/>
      <w:r w:rsidRPr="00A41727">
        <w:rPr>
          <w:rFonts w:ascii="Arial" w:hAnsi="Arial" w:cs="Arial"/>
          <w:sz w:val="24"/>
          <w:szCs w:val="24"/>
        </w:rPr>
        <w:t xml:space="preserve">, P.H., 2012b. Weed control, environmental impact and profitability of </w:t>
      </w:r>
      <w:proofErr w:type="spellStart"/>
      <w:r w:rsidRPr="00A41727">
        <w:rPr>
          <w:rFonts w:ascii="Arial" w:hAnsi="Arial" w:cs="Arial"/>
          <w:sz w:val="24"/>
          <w:szCs w:val="24"/>
        </w:rPr>
        <w:t>preplant</w:t>
      </w:r>
      <w:proofErr w:type="spellEnd"/>
      <w:r w:rsidRPr="00A41727">
        <w:rPr>
          <w:rFonts w:ascii="Arial" w:hAnsi="Arial" w:cs="Arial"/>
          <w:sz w:val="24"/>
          <w:szCs w:val="24"/>
        </w:rPr>
        <w:t xml:space="preserve"> incorporated herbicides in white bean. Am. J. Plant Sci. 3: 846–853.</w:t>
      </w:r>
    </w:p>
    <w:p w:rsidR="00206A05" w:rsidRPr="00A41727" w:rsidRDefault="00206A05" w:rsidP="00A41727">
      <w:pPr>
        <w:autoSpaceDE w:val="0"/>
        <w:autoSpaceDN w:val="0"/>
        <w:adjustRightInd w:val="0"/>
        <w:spacing w:after="0" w:line="360" w:lineRule="auto"/>
        <w:jc w:val="both"/>
        <w:outlineLvl w:val="0"/>
        <w:rPr>
          <w:rFonts w:ascii="Arial" w:hAnsi="Arial" w:cs="Arial"/>
          <w:sz w:val="24"/>
          <w:szCs w:val="24"/>
        </w:rPr>
      </w:pPr>
    </w:p>
    <w:p w:rsidR="00206A05" w:rsidRPr="00A41727" w:rsidRDefault="00206A05" w:rsidP="00A41727">
      <w:pPr>
        <w:autoSpaceDE w:val="0"/>
        <w:autoSpaceDN w:val="0"/>
        <w:adjustRightInd w:val="0"/>
        <w:spacing w:after="0" w:line="360" w:lineRule="auto"/>
        <w:jc w:val="both"/>
        <w:outlineLvl w:val="0"/>
        <w:rPr>
          <w:rFonts w:ascii="Arial" w:hAnsi="Arial" w:cs="Arial"/>
          <w:sz w:val="24"/>
          <w:szCs w:val="24"/>
        </w:rPr>
      </w:pPr>
      <w:proofErr w:type="spellStart"/>
      <w:r w:rsidRPr="00A41727">
        <w:rPr>
          <w:rFonts w:ascii="Arial" w:hAnsi="Arial" w:cs="Arial"/>
          <w:sz w:val="24"/>
          <w:szCs w:val="24"/>
        </w:rPr>
        <w:t>Soltani</w:t>
      </w:r>
      <w:proofErr w:type="spellEnd"/>
      <w:r w:rsidRPr="00A41727">
        <w:rPr>
          <w:rFonts w:ascii="Arial" w:hAnsi="Arial" w:cs="Arial"/>
          <w:sz w:val="24"/>
          <w:szCs w:val="24"/>
        </w:rPr>
        <w:t xml:space="preserve">, N., Nurse, R.E., Shropshire, C., and </w:t>
      </w:r>
      <w:proofErr w:type="spellStart"/>
      <w:r w:rsidRPr="00A41727">
        <w:rPr>
          <w:rFonts w:ascii="Arial" w:hAnsi="Arial" w:cs="Arial"/>
          <w:sz w:val="24"/>
          <w:szCs w:val="24"/>
        </w:rPr>
        <w:t>Sikkema</w:t>
      </w:r>
      <w:proofErr w:type="spellEnd"/>
      <w:r w:rsidRPr="00A41727">
        <w:rPr>
          <w:rFonts w:ascii="Arial" w:hAnsi="Arial" w:cs="Arial"/>
          <w:sz w:val="24"/>
          <w:szCs w:val="24"/>
        </w:rPr>
        <w:t xml:space="preserve">, P.H., 2013b. Weed management in white beans with </w:t>
      </w:r>
      <w:proofErr w:type="spellStart"/>
      <w:r w:rsidRPr="00A41727">
        <w:rPr>
          <w:rFonts w:ascii="Arial" w:hAnsi="Arial" w:cs="Arial"/>
          <w:sz w:val="24"/>
          <w:szCs w:val="24"/>
        </w:rPr>
        <w:t>postemergence</w:t>
      </w:r>
      <w:proofErr w:type="spellEnd"/>
      <w:r w:rsidRPr="00A41727">
        <w:rPr>
          <w:rFonts w:ascii="Arial" w:hAnsi="Arial" w:cs="Arial"/>
          <w:sz w:val="24"/>
          <w:szCs w:val="24"/>
        </w:rPr>
        <w:t xml:space="preserve"> herbicide </w:t>
      </w:r>
      <w:proofErr w:type="spellStart"/>
      <w:r w:rsidRPr="00A41727">
        <w:rPr>
          <w:rFonts w:ascii="Arial" w:hAnsi="Arial" w:cs="Arial"/>
          <w:sz w:val="24"/>
          <w:szCs w:val="24"/>
        </w:rPr>
        <w:t>tankmixes</w:t>
      </w:r>
      <w:proofErr w:type="spellEnd"/>
      <w:r w:rsidRPr="00A41727">
        <w:rPr>
          <w:rFonts w:ascii="Arial" w:hAnsi="Arial" w:cs="Arial"/>
          <w:sz w:val="24"/>
          <w:szCs w:val="24"/>
        </w:rPr>
        <w:t xml:space="preserve">. Can. J. Plant Sci. 93: 669–674. </w:t>
      </w:r>
      <w:proofErr w:type="gramStart"/>
      <w:r w:rsidRPr="00A41727">
        <w:rPr>
          <w:rFonts w:ascii="Arial" w:hAnsi="Arial" w:cs="Arial"/>
          <w:sz w:val="24"/>
          <w:szCs w:val="24"/>
        </w:rPr>
        <w:t>doi:</w:t>
      </w:r>
      <w:proofErr w:type="gramEnd"/>
      <w:r w:rsidRPr="00A41727">
        <w:rPr>
          <w:rFonts w:ascii="Arial" w:hAnsi="Arial" w:cs="Arial"/>
          <w:sz w:val="24"/>
          <w:szCs w:val="24"/>
        </w:rPr>
        <w:t>10.4141/ cjps2012-273.</w:t>
      </w:r>
    </w:p>
    <w:p w:rsidR="00206A05" w:rsidRPr="00A41727" w:rsidRDefault="00206A05" w:rsidP="00A41727">
      <w:pPr>
        <w:autoSpaceDE w:val="0"/>
        <w:autoSpaceDN w:val="0"/>
        <w:adjustRightInd w:val="0"/>
        <w:spacing w:after="0" w:line="360" w:lineRule="auto"/>
        <w:jc w:val="both"/>
        <w:outlineLvl w:val="0"/>
        <w:rPr>
          <w:rFonts w:ascii="Arial" w:hAnsi="Arial" w:cs="Arial"/>
          <w:sz w:val="24"/>
          <w:szCs w:val="24"/>
        </w:rPr>
      </w:pPr>
    </w:p>
    <w:p w:rsidR="00206A05" w:rsidRPr="00A41727" w:rsidRDefault="00206A05" w:rsidP="00A41727">
      <w:pPr>
        <w:autoSpaceDE w:val="0"/>
        <w:autoSpaceDN w:val="0"/>
        <w:adjustRightInd w:val="0"/>
        <w:spacing w:after="0" w:line="360" w:lineRule="auto"/>
        <w:jc w:val="both"/>
        <w:outlineLvl w:val="0"/>
        <w:rPr>
          <w:rFonts w:ascii="Arial" w:hAnsi="Arial" w:cs="Arial"/>
          <w:sz w:val="24"/>
          <w:szCs w:val="24"/>
        </w:rPr>
      </w:pPr>
      <w:proofErr w:type="spellStart"/>
      <w:r w:rsidRPr="00A41727">
        <w:rPr>
          <w:rFonts w:ascii="Arial" w:hAnsi="Arial" w:cs="Arial"/>
          <w:sz w:val="24"/>
          <w:szCs w:val="24"/>
        </w:rPr>
        <w:t>Soltani</w:t>
      </w:r>
      <w:proofErr w:type="spellEnd"/>
      <w:r w:rsidRPr="00A41727">
        <w:rPr>
          <w:rFonts w:ascii="Arial" w:hAnsi="Arial" w:cs="Arial"/>
          <w:sz w:val="24"/>
          <w:szCs w:val="24"/>
        </w:rPr>
        <w:t xml:space="preserve">, N., Nurse, R.E., Shropshire, C., and </w:t>
      </w:r>
      <w:proofErr w:type="spellStart"/>
      <w:r w:rsidRPr="00A41727">
        <w:rPr>
          <w:rFonts w:ascii="Arial" w:hAnsi="Arial" w:cs="Arial"/>
          <w:sz w:val="24"/>
          <w:szCs w:val="24"/>
        </w:rPr>
        <w:t>Sikkema</w:t>
      </w:r>
      <w:proofErr w:type="spellEnd"/>
      <w:r w:rsidRPr="00A41727">
        <w:rPr>
          <w:rFonts w:ascii="Arial" w:hAnsi="Arial" w:cs="Arial"/>
          <w:sz w:val="24"/>
          <w:szCs w:val="24"/>
        </w:rPr>
        <w:t xml:space="preserve">, P.H., 2014a. Weed control in white bean with various </w:t>
      </w:r>
      <w:proofErr w:type="spellStart"/>
      <w:r w:rsidRPr="00A41727">
        <w:rPr>
          <w:rFonts w:ascii="Arial" w:hAnsi="Arial" w:cs="Arial"/>
          <w:sz w:val="24"/>
          <w:szCs w:val="24"/>
        </w:rPr>
        <w:t>halosulfuron</w:t>
      </w:r>
      <w:proofErr w:type="spellEnd"/>
      <w:r w:rsidRPr="00A41727">
        <w:rPr>
          <w:rFonts w:ascii="Arial" w:hAnsi="Arial" w:cs="Arial"/>
          <w:sz w:val="24"/>
          <w:szCs w:val="24"/>
        </w:rPr>
        <w:t xml:space="preserve"> </w:t>
      </w:r>
      <w:proofErr w:type="spellStart"/>
      <w:r w:rsidRPr="00A41727">
        <w:rPr>
          <w:rFonts w:ascii="Arial" w:hAnsi="Arial" w:cs="Arial"/>
          <w:sz w:val="24"/>
          <w:szCs w:val="24"/>
        </w:rPr>
        <w:t>tankmixes</w:t>
      </w:r>
      <w:proofErr w:type="spellEnd"/>
      <w:r w:rsidRPr="00A41727">
        <w:rPr>
          <w:rFonts w:ascii="Arial" w:hAnsi="Arial" w:cs="Arial"/>
          <w:sz w:val="24"/>
          <w:szCs w:val="24"/>
        </w:rPr>
        <w:t xml:space="preserve">. Adv. Agri. 2014:1 –7. </w:t>
      </w:r>
      <w:proofErr w:type="gramStart"/>
      <w:r w:rsidRPr="00A41727">
        <w:rPr>
          <w:rFonts w:ascii="Arial" w:hAnsi="Arial" w:cs="Arial"/>
          <w:sz w:val="24"/>
          <w:szCs w:val="24"/>
        </w:rPr>
        <w:t>doi:</w:t>
      </w:r>
      <w:proofErr w:type="gramEnd"/>
      <w:r w:rsidRPr="00A41727">
        <w:rPr>
          <w:rFonts w:ascii="Arial" w:hAnsi="Arial" w:cs="Arial"/>
          <w:sz w:val="24"/>
          <w:szCs w:val="24"/>
        </w:rPr>
        <w:t xml:space="preserve">10.1614/WT-03-043R3. </w:t>
      </w:r>
    </w:p>
    <w:p w:rsidR="00206A05" w:rsidRPr="00A41727" w:rsidRDefault="00206A05" w:rsidP="00A41727">
      <w:pPr>
        <w:autoSpaceDE w:val="0"/>
        <w:autoSpaceDN w:val="0"/>
        <w:adjustRightInd w:val="0"/>
        <w:spacing w:after="0" w:line="360" w:lineRule="auto"/>
        <w:jc w:val="both"/>
        <w:outlineLvl w:val="0"/>
        <w:rPr>
          <w:rFonts w:ascii="Arial" w:hAnsi="Arial" w:cs="Arial"/>
          <w:sz w:val="24"/>
          <w:szCs w:val="24"/>
        </w:rPr>
      </w:pPr>
    </w:p>
    <w:p w:rsidR="00206A05" w:rsidRPr="00A41727" w:rsidRDefault="00206A05" w:rsidP="00A41727">
      <w:pPr>
        <w:autoSpaceDE w:val="0"/>
        <w:autoSpaceDN w:val="0"/>
        <w:adjustRightInd w:val="0"/>
        <w:spacing w:after="0" w:line="360" w:lineRule="auto"/>
        <w:jc w:val="both"/>
        <w:outlineLvl w:val="0"/>
        <w:rPr>
          <w:rFonts w:ascii="Arial" w:hAnsi="Arial" w:cs="Arial"/>
          <w:sz w:val="24"/>
          <w:szCs w:val="24"/>
        </w:rPr>
      </w:pPr>
      <w:proofErr w:type="spellStart"/>
      <w:r w:rsidRPr="00A41727">
        <w:rPr>
          <w:rFonts w:ascii="Arial" w:hAnsi="Arial" w:cs="Arial"/>
          <w:sz w:val="24"/>
          <w:szCs w:val="24"/>
        </w:rPr>
        <w:t>Soltani</w:t>
      </w:r>
      <w:proofErr w:type="spellEnd"/>
      <w:r w:rsidRPr="00A41727">
        <w:rPr>
          <w:rFonts w:ascii="Arial" w:hAnsi="Arial" w:cs="Arial"/>
          <w:sz w:val="24"/>
          <w:szCs w:val="24"/>
        </w:rPr>
        <w:t xml:space="preserve">, N., Nurse, R.E., Shropshire, C., and </w:t>
      </w:r>
      <w:proofErr w:type="spellStart"/>
      <w:r w:rsidRPr="00A41727">
        <w:rPr>
          <w:rFonts w:ascii="Arial" w:hAnsi="Arial" w:cs="Arial"/>
          <w:sz w:val="24"/>
          <w:szCs w:val="24"/>
        </w:rPr>
        <w:t>Sikkema</w:t>
      </w:r>
      <w:proofErr w:type="spellEnd"/>
      <w:r w:rsidRPr="00A41727">
        <w:rPr>
          <w:rFonts w:ascii="Arial" w:hAnsi="Arial" w:cs="Arial"/>
          <w:sz w:val="24"/>
          <w:szCs w:val="24"/>
        </w:rPr>
        <w:t xml:space="preserve">, P.H., 2014b. Weed control with </w:t>
      </w:r>
      <w:proofErr w:type="spellStart"/>
      <w:r w:rsidRPr="00A41727">
        <w:rPr>
          <w:rFonts w:ascii="Arial" w:hAnsi="Arial" w:cs="Arial"/>
          <w:sz w:val="24"/>
          <w:szCs w:val="24"/>
        </w:rPr>
        <w:t>halosulfuron</w:t>
      </w:r>
      <w:proofErr w:type="spellEnd"/>
      <w:r w:rsidRPr="00A41727">
        <w:rPr>
          <w:rFonts w:ascii="Arial" w:hAnsi="Arial" w:cs="Arial"/>
          <w:sz w:val="24"/>
          <w:szCs w:val="24"/>
        </w:rPr>
        <w:t xml:space="preserve"> applied </w:t>
      </w:r>
      <w:proofErr w:type="spellStart"/>
      <w:r w:rsidRPr="00A41727">
        <w:rPr>
          <w:rFonts w:ascii="Arial" w:hAnsi="Arial" w:cs="Arial"/>
          <w:sz w:val="24"/>
          <w:szCs w:val="24"/>
        </w:rPr>
        <w:t>preplant</w:t>
      </w:r>
      <w:proofErr w:type="spellEnd"/>
      <w:r w:rsidRPr="00A41727">
        <w:rPr>
          <w:rFonts w:ascii="Arial" w:hAnsi="Arial" w:cs="Arial"/>
          <w:sz w:val="24"/>
          <w:szCs w:val="24"/>
        </w:rPr>
        <w:t xml:space="preserve"> incorporated, </w:t>
      </w:r>
      <w:proofErr w:type="spellStart"/>
      <w:r w:rsidRPr="00A41727">
        <w:rPr>
          <w:rFonts w:ascii="Arial" w:hAnsi="Arial" w:cs="Arial"/>
          <w:sz w:val="24"/>
          <w:szCs w:val="24"/>
        </w:rPr>
        <w:t>preemergence</w:t>
      </w:r>
      <w:proofErr w:type="spellEnd"/>
      <w:r w:rsidRPr="00A41727">
        <w:rPr>
          <w:rFonts w:ascii="Arial" w:hAnsi="Arial" w:cs="Arial"/>
          <w:sz w:val="24"/>
          <w:szCs w:val="24"/>
        </w:rPr>
        <w:t xml:space="preserve"> or </w:t>
      </w:r>
      <w:proofErr w:type="spellStart"/>
      <w:r w:rsidRPr="00A41727">
        <w:rPr>
          <w:rFonts w:ascii="Arial" w:hAnsi="Arial" w:cs="Arial"/>
          <w:sz w:val="24"/>
          <w:szCs w:val="24"/>
        </w:rPr>
        <w:t>postemergence</w:t>
      </w:r>
      <w:proofErr w:type="spellEnd"/>
      <w:r w:rsidRPr="00A41727">
        <w:rPr>
          <w:rFonts w:ascii="Arial" w:hAnsi="Arial" w:cs="Arial"/>
          <w:sz w:val="24"/>
          <w:szCs w:val="24"/>
        </w:rPr>
        <w:t xml:space="preserve"> in white bean. Agri. Sci. 5: 875–881.</w:t>
      </w:r>
    </w:p>
    <w:p w:rsidR="00206A05" w:rsidRPr="00A41727" w:rsidRDefault="00206A05" w:rsidP="00A41727">
      <w:pPr>
        <w:autoSpaceDE w:val="0"/>
        <w:autoSpaceDN w:val="0"/>
        <w:adjustRightInd w:val="0"/>
        <w:spacing w:after="0" w:line="360" w:lineRule="auto"/>
        <w:jc w:val="both"/>
        <w:outlineLvl w:val="0"/>
        <w:rPr>
          <w:rFonts w:ascii="Arial" w:hAnsi="Arial" w:cs="Arial"/>
          <w:sz w:val="24"/>
          <w:szCs w:val="24"/>
        </w:rPr>
      </w:pPr>
    </w:p>
    <w:p w:rsidR="00206A05" w:rsidRPr="00A41727" w:rsidRDefault="00206A05" w:rsidP="00A41727">
      <w:pPr>
        <w:autoSpaceDE w:val="0"/>
        <w:autoSpaceDN w:val="0"/>
        <w:adjustRightInd w:val="0"/>
        <w:spacing w:after="0" w:line="360" w:lineRule="auto"/>
        <w:jc w:val="both"/>
        <w:outlineLvl w:val="0"/>
        <w:rPr>
          <w:rFonts w:ascii="Arial" w:hAnsi="Arial" w:cs="Arial"/>
          <w:sz w:val="24"/>
          <w:szCs w:val="24"/>
        </w:rPr>
      </w:pPr>
      <w:proofErr w:type="spellStart"/>
      <w:r w:rsidRPr="00A41727">
        <w:rPr>
          <w:rFonts w:ascii="Arial" w:hAnsi="Arial" w:cs="Arial"/>
          <w:sz w:val="24"/>
          <w:szCs w:val="24"/>
        </w:rPr>
        <w:t>Umeda</w:t>
      </w:r>
      <w:proofErr w:type="spellEnd"/>
      <w:r w:rsidRPr="00A41727">
        <w:rPr>
          <w:rFonts w:ascii="Arial" w:hAnsi="Arial" w:cs="Arial"/>
          <w:sz w:val="24"/>
          <w:szCs w:val="24"/>
        </w:rPr>
        <w:t xml:space="preserve">, K., 1998. Weed control in melons using </w:t>
      </w:r>
      <w:proofErr w:type="spellStart"/>
      <w:r w:rsidRPr="00A41727">
        <w:rPr>
          <w:rFonts w:ascii="Arial" w:hAnsi="Arial" w:cs="Arial"/>
          <w:sz w:val="24"/>
          <w:szCs w:val="24"/>
        </w:rPr>
        <w:t>preemergence</w:t>
      </w:r>
      <w:proofErr w:type="spellEnd"/>
      <w:r w:rsidRPr="00A41727">
        <w:rPr>
          <w:rFonts w:ascii="Arial" w:hAnsi="Arial" w:cs="Arial"/>
          <w:sz w:val="24"/>
          <w:szCs w:val="24"/>
        </w:rPr>
        <w:t xml:space="preserve"> and </w:t>
      </w:r>
      <w:proofErr w:type="spellStart"/>
      <w:r w:rsidRPr="00A41727">
        <w:rPr>
          <w:rFonts w:ascii="Arial" w:hAnsi="Arial" w:cs="Arial"/>
          <w:sz w:val="24"/>
          <w:szCs w:val="24"/>
        </w:rPr>
        <w:t>postemergence</w:t>
      </w:r>
      <w:proofErr w:type="spellEnd"/>
      <w:r w:rsidRPr="00A41727">
        <w:rPr>
          <w:rFonts w:ascii="Arial" w:hAnsi="Arial" w:cs="Arial"/>
          <w:sz w:val="24"/>
          <w:szCs w:val="24"/>
        </w:rPr>
        <w:t xml:space="preserve"> herbicides. Proc. West. Soc. Weed Sci. 51:74.</w:t>
      </w:r>
    </w:p>
    <w:p w:rsidR="00206A05" w:rsidRPr="00A41727" w:rsidRDefault="00206A05" w:rsidP="00A41727">
      <w:pPr>
        <w:autoSpaceDE w:val="0"/>
        <w:autoSpaceDN w:val="0"/>
        <w:adjustRightInd w:val="0"/>
        <w:spacing w:after="0" w:line="360" w:lineRule="auto"/>
        <w:jc w:val="both"/>
        <w:outlineLvl w:val="0"/>
        <w:rPr>
          <w:rFonts w:ascii="Arial" w:hAnsi="Arial" w:cs="Arial"/>
          <w:sz w:val="24"/>
          <w:szCs w:val="24"/>
        </w:rPr>
      </w:pPr>
    </w:p>
    <w:p w:rsidR="00206A05" w:rsidRPr="00A41727" w:rsidRDefault="00206A05" w:rsidP="00A41727">
      <w:pPr>
        <w:autoSpaceDE w:val="0"/>
        <w:autoSpaceDN w:val="0"/>
        <w:adjustRightInd w:val="0"/>
        <w:spacing w:after="0" w:line="360" w:lineRule="auto"/>
        <w:jc w:val="both"/>
        <w:rPr>
          <w:rFonts w:ascii="Arial" w:hAnsi="Arial" w:cs="Arial"/>
          <w:color w:val="000000" w:themeColor="text1"/>
          <w:sz w:val="24"/>
          <w:szCs w:val="24"/>
        </w:rPr>
      </w:pPr>
      <w:r w:rsidRPr="00A41727">
        <w:rPr>
          <w:rFonts w:ascii="Arial" w:hAnsi="Arial" w:cs="Arial"/>
          <w:color w:val="000000" w:themeColor="text1"/>
          <w:sz w:val="24"/>
          <w:szCs w:val="24"/>
          <w:lang w:val="pt-PT"/>
        </w:rPr>
        <w:t xml:space="preserve">Umeda, K., Murrieta Jr., G.G., 1998. </w:t>
      </w:r>
      <w:r w:rsidRPr="00A41727">
        <w:rPr>
          <w:rFonts w:ascii="Arial" w:hAnsi="Arial" w:cs="Arial"/>
          <w:color w:val="000000" w:themeColor="text1"/>
          <w:sz w:val="24"/>
          <w:szCs w:val="24"/>
        </w:rPr>
        <w:t xml:space="preserve">1998 Vegetable Report </w:t>
      </w:r>
      <w:proofErr w:type="spellStart"/>
      <w:r w:rsidRPr="00A41727">
        <w:rPr>
          <w:rFonts w:ascii="Arial" w:hAnsi="Arial" w:cs="Arial"/>
          <w:color w:val="000000" w:themeColor="text1"/>
          <w:sz w:val="24"/>
          <w:szCs w:val="24"/>
        </w:rPr>
        <w:t>Postemergence</w:t>
      </w:r>
      <w:proofErr w:type="spellEnd"/>
      <w:r w:rsidRPr="00A41727">
        <w:rPr>
          <w:rFonts w:ascii="Arial" w:hAnsi="Arial" w:cs="Arial"/>
          <w:color w:val="000000" w:themeColor="text1"/>
          <w:sz w:val="24"/>
          <w:szCs w:val="24"/>
        </w:rPr>
        <w:t xml:space="preserve"> Herbicide Weed Control in Cole Crops, College of Agriculture, </w:t>
      </w:r>
      <w:proofErr w:type="gramStart"/>
      <w:r w:rsidRPr="00A41727">
        <w:rPr>
          <w:rFonts w:ascii="Arial" w:hAnsi="Arial" w:cs="Arial"/>
          <w:color w:val="000000" w:themeColor="text1"/>
          <w:sz w:val="24"/>
          <w:szCs w:val="24"/>
        </w:rPr>
        <w:t>The</w:t>
      </w:r>
      <w:proofErr w:type="gramEnd"/>
      <w:r w:rsidRPr="00A41727">
        <w:rPr>
          <w:rFonts w:ascii="Arial" w:hAnsi="Arial" w:cs="Arial"/>
          <w:color w:val="000000" w:themeColor="text1"/>
          <w:sz w:val="24"/>
          <w:szCs w:val="24"/>
        </w:rPr>
        <w:t xml:space="preserve"> University of Arizona. Publication az1101, pp. 1–2.</w:t>
      </w:r>
    </w:p>
    <w:p w:rsidR="00BA7D2D" w:rsidRDefault="00206A05" w:rsidP="00A41727">
      <w:pPr>
        <w:spacing w:before="240" w:line="360" w:lineRule="auto"/>
        <w:jc w:val="both"/>
      </w:pPr>
      <w:proofErr w:type="spellStart"/>
      <w:r w:rsidRPr="00A41727">
        <w:rPr>
          <w:rFonts w:ascii="Arial" w:hAnsi="Arial" w:cs="Arial"/>
          <w:color w:val="000000" w:themeColor="text1"/>
          <w:sz w:val="24"/>
          <w:szCs w:val="24"/>
        </w:rPr>
        <w:t>Umeda</w:t>
      </w:r>
      <w:proofErr w:type="spellEnd"/>
      <w:r w:rsidRPr="00A41727">
        <w:rPr>
          <w:rFonts w:ascii="Arial" w:hAnsi="Arial" w:cs="Arial"/>
          <w:color w:val="000000" w:themeColor="text1"/>
          <w:sz w:val="24"/>
          <w:szCs w:val="24"/>
        </w:rPr>
        <w:t xml:space="preserve">, K., 2000.  Screening new herbicides for weed control in head and leaf lettuces and broccoli.  </w:t>
      </w:r>
    </w:p>
    <w:sectPr w:rsidR="00BA7D2D">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0F60" w:rsidRDefault="00240F60" w:rsidP="00206A05">
      <w:pPr>
        <w:spacing w:after="0" w:line="240" w:lineRule="auto"/>
      </w:pPr>
      <w:r>
        <w:separator/>
      </w:r>
    </w:p>
  </w:endnote>
  <w:endnote w:type="continuationSeparator" w:id="0">
    <w:p w:rsidR="00240F60" w:rsidRDefault="00240F60" w:rsidP="00206A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1791" w:rsidRDefault="00240F60">
    <w:pPr>
      <w:pStyle w:val="Footer"/>
      <w:jc w:val="center"/>
    </w:pPr>
  </w:p>
  <w:p w:rsidR="00221791" w:rsidRDefault="00240F6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0F60" w:rsidRDefault="00240F60" w:rsidP="00206A05">
      <w:pPr>
        <w:spacing w:after="0" w:line="240" w:lineRule="auto"/>
      </w:pPr>
      <w:r>
        <w:separator/>
      </w:r>
    </w:p>
  </w:footnote>
  <w:footnote w:type="continuationSeparator" w:id="0">
    <w:p w:rsidR="00240F60" w:rsidRDefault="00240F60" w:rsidP="00206A0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0C4"/>
    <w:rsid w:val="001D6960"/>
    <w:rsid w:val="00206A05"/>
    <w:rsid w:val="00240F60"/>
    <w:rsid w:val="00264F76"/>
    <w:rsid w:val="004060C4"/>
    <w:rsid w:val="00471274"/>
    <w:rsid w:val="005B52B2"/>
    <w:rsid w:val="007E4EDF"/>
    <w:rsid w:val="00836E96"/>
    <w:rsid w:val="008C5F11"/>
    <w:rsid w:val="00986959"/>
    <w:rsid w:val="00A41727"/>
    <w:rsid w:val="00B020F8"/>
    <w:rsid w:val="00B716CF"/>
    <w:rsid w:val="00DA7C6F"/>
    <w:rsid w:val="00E46B91"/>
    <w:rsid w:val="00E57E40"/>
    <w:rsid w:val="00EC27A7"/>
    <w:rsid w:val="00ED23B9"/>
    <w:rsid w:val="00FD415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9185310-FC0D-4B47-B110-867A420F0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EC27A7"/>
    <w:pPr>
      <w:keepNext/>
      <w:keepLines/>
      <w:spacing w:before="200" w:after="0" w:line="276" w:lineRule="auto"/>
      <w:outlineLvl w:val="1"/>
    </w:pPr>
    <w:rPr>
      <w:rFonts w:asciiTheme="majorHAnsi" w:eastAsiaTheme="majorEastAsia" w:hAnsiTheme="majorHAnsi" w:cstheme="majorBidi"/>
      <w:b/>
      <w:bCs/>
      <w:color w:val="5B9BD5" w:themeColor="accent1"/>
      <w:sz w:val="26"/>
      <w:szCs w:val="26"/>
      <w:lang w:val="en-US"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060C4"/>
    <w:pPr>
      <w:autoSpaceDE w:val="0"/>
      <w:autoSpaceDN w:val="0"/>
      <w:adjustRightInd w:val="0"/>
      <w:spacing w:after="0" w:line="240" w:lineRule="auto"/>
    </w:pPr>
    <w:rPr>
      <w:rFonts w:ascii="Times New Roman" w:hAnsi="Times New Roman" w:cs="Times New Roman"/>
      <w:color w:val="000000"/>
      <w:sz w:val="24"/>
      <w:szCs w:val="24"/>
    </w:rPr>
  </w:style>
  <w:style w:type="paragraph" w:styleId="Footer">
    <w:name w:val="footer"/>
    <w:basedOn w:val="Normal"/>
    <w:link w:val="FooterChar"/>
    <w:uiPriority w:val="99"/>
    <w:unhideWhenUsed/>
    <w:rsid w:val="00EC27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27A7"/>
  </w:style>
  <w:style w:type="character" w:customStyle="1" w:styleId="Heading2Char">
    <w:name w:val="Heading 2 Char"/>
    <w:basedOn w:val="DefaultParagraphFont"/>
    <w:link w:val="Heading2"/>
    <w:uiPriority w:val="9"/>
    <w:rsid w:val="00EC27A7"/>
    <w:rPr>
      <w:rFonts w:asciiTheme="majorHAnsi" w:eastAsiaTheme="majorEastAsia" w:hAnsiTheme="majorHAnsi" w:cstheme="majorBidi"/>
      <w:b/>
      <w:bCs/>
      <w:color w:val="5B9BD5" w:themeColor="accent1"/>
      <w:sz w:val="26"/>
      <w:szCs w:val="26"/>
      <w:lang w:val="en-US" w:bidi="he-IL"/>
    </w:rPr>
  </w:style>
  <w:style w:type="character" w:styleId="Hyperlink">
    <w:name w:val="Hyperlink"/>
    <w:basedOn w:val="DefaultParagraphFont"/>
    <w:uiPriority w:val="99"/>
    <w:unhideWhenUsed/>
    <w:rsid w:val="00471274"/>
    <w:rPr>
      <w:color w:val="0563C1" w:themeColor="hyperlink"/>
      <w:u w:val="single"/>
    </w:rPr>
  </w:style>
  <w:style w:type="table" w:styleId="TableGrid">
    <w:name w:val="Table Grid"/>
    <w:basedOn w:val="TableNormal"/>
    <w:uiPriority w:val="39"/>
    <w:rsid w:val="00B716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06A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6A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ZA" sz="1200" b="1">
                <a:solidFill>
                  <a:schemeClr val="tx1"/>
                </a:solidFill>
                <a:latin typeface="Arial" panose="020B0604020202020204" pitchFamily="34" charset="0"/>
                <a:cs typeface="Arial" panose="020B0604020202020204" pitchFamily="34" charset="0"/>
              </a:rPr>
              <a:t>EMERGENCE  PERCENTAGE</a:t>
            </a:r>
          </a:p>
        </c:rich>
      </c:tx>
      <c:layout>
        <c:manualLayout>
          <c:xMode val="edge"/>
          <c:yMode val="edge"/>
          <c:x val="0.26879155730533688"/>
          <c:y val="4.166666666666666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cat>
            <c:strRef>
              <c:f>Sheet2!$D$7:$D$10</c:f>
              <c:strCache>
                <c:ptCount val="4"/>
                <c:pt idx="0">
                  <c:v>MET</c:v>
                </c:pt>
                <c:pt idx="1">
                  <c:v>CLO</c:v>
                </c:pt>
                <c:pt idx="2">
                  <c:v>HAL</c:v>
                </c:pt>
                <c:pt idx="3">
                  <c:v>OXA</c:v>
                </c:pt>
              </c:strCache>
            </c:strRef>
          </c:cat>
          <c:val>
            <c:numRef>
              <c:f>Sheet2!$E$7:$E$10</c:f>
              <c:numCache>
                <c:formatCode>General</c:formatCode>
                <c:ptCount val="4"/>
                <c:pt idx="0">
                  <c:v>97.5</c:v>
                </c:pt>
                <c:pt idx="1">
                  <c:v>75</c:v>
                </c:pt>
                <c:pt idx="2">
                  <c:v>95.42</c:v>
                </c:pt>
                <c:pt idx="3">
                  <c:v>72.08</c:v>
                </c:pt>
              </c:numCache>
            </c:numRef>
          </c:val>
        </c:ser>
        <c:dLbls>
          <c:showLegendKey val="0"/>
          <c:showVal val="0"/>
          <c:showCatName val="0"/>
          <c:showSerName val="0"/>
          <c:showPercent val="0"/>
          <c:showBubbleSize val="0"/>
        </c:dLbls>
        <c:gapWidth val="219"/>
        <c:overlap val="-27"/>
        <c:axId val="530602696"/>
        <c:axId val="358564152"/>
      </c:barChart>
      <c:catAx>
        <c:axId val="53060269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solidFill>
                      <a:schemeClr val="tx1"/>
                    </a:solidFill>
                    <a:latin typeface="Arial" panose="020B0604020202020204" pitchFamily="34" charset="0"/>
                    <a:cs typeface="Arial" panose="020B0604020202020204" pitchFamily="34" charset="0"/>
                  </a:rPr>
                  <a:t>HERBICIDES APPLIED </a:t>
                </a:r>
              </a:p>
            </c:rich>
          </c:tx>
          <c:layout>
            <c:manualLayout>
              <c:xMode val="edge"/>
              <c:yMode val="edge"/>
              <c:x val="0.3332456255468067"/>
              <c:y val="0.8759025955088947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358564152"/>
        <c:crosses val="autoZero"/>
        <c:auto val="1"/>
        <c:lblAlgn val="ctr"/>
        <c:lblOffset val="100"/>
        <c:noMultiLvlLbl val="0"/>
      </c:catAx>
      <c:valAx>
        <c:axId val="3585641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ZA" sz="1200">
                    <a:solidFill>
                      <a:schemeClr val="tx1"/>
                    </a:solidFill>
                    <a:latin typeface="Arial" panose="020B0604020202020204" pitchFamily="34" charset="0"/>
                    <a:cs typeface="Arial" panose="020B0604020202020204" pitchFamily="34" charset="0"/>
                  </a:rPr>
                  <a:t>Emergence Percentage</a:t>
                </a:r>
              </a:p>
            </c:rich>
          </c:tx>
          <c:layout>
            <c:manualLayout>
              <c:xMode val="edge"/>
              <c:yMode val="edge"/>
              <c:x val="2.2222222222222223E-2"/>
              <c:y val="0.16217957130358707"/>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5306026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ZA" sz="1200" b="1">
                <a:solidFill>
                  <a:schemeClr val="tx1"/>
                </a:solidFill>
                <a:latin typeface="Arial" panose="020B0604020202020204" pitchFamily="34" charset="0"/>
                <a:cs typeface="Arial" panose="020B0604020202020204" pitchFamily="34" charset="0"/>
              </a:rPr>
              <a:t>NECROSIS PERCENTAGE</a:t>
            </a:r>
          </a:p>
        </c:rich>
      </c:tx>
      <c:layout>
        <c:manualLayout>
          <c:xMode val="edge"/>
          <c:yMode val="edge"/>
          <c:x val="0.26149300087489064"/>
          <c:y val="4.166666666666666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cat>
            <c:strRef>
              <c:f>Sheet4!$F$9:$F$12</c:f>
              <c:strCache>
                <c:ptCount val="4"/>
                <c:pt idx="0">
                  <c:v>MET</c:v>
                </c:pt>
                <c:pt idx="1">
                  <c:v>CLO</c:v>
                </c:pt>
                <c:pt idx="2">
                  <c:v>HAL</c:v>
                </c:pt>
                <c:pt idx="3">
                  <c:v>OXA</c:v>
                </c:pt>
              </c:strCache>
            </c:strRef>
          </c:cat>
          <c:val>
            <c:numRef>
              <c:f>Sheet4!$G$9:$G$12</c:f>
              <c:numCache>
                <c:formatCode>General</c:formatCode>
                <c:ptCount val="4"/>
                <c:pt idx="0">
                  <c:v>40.42</c:v>
                </c:pt>
                <c:pt idx="1">
                  <c:v>56.25</c:v>
                </c:pt>
                <c:pt idx="2">
                  <c:v>10.83</c:v>
                </c:pt>
                <c:pt idx="3">
                  <c:v>65.42</c:v>
                </c:pt>
              </c:numCache>
            </c:numRef>
          </c:val>
        </c:ser>
        <c:dLbls>
          <c:showLegendKey val="0"/>
          <c:showVal val="0"/>
          <c:showCatName val="0"/>
          <c:showSerName val="0"/>
          <c:showPercent val="0"/>
          <c:showBubbleSize val="0"/>
        </c:dLbls>
        <c:gapWidth val="219"/>
        <c:overlap val="-27"/>
        <c:axId val="369398792"/>
        <c:axId val="358857392"/>
      </c:barChart>
      <c:catAx>
        <c:axId val="36939879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ZA" sz="1200">
                    <a:solidFill>
                      <a:schemeClr val="tx1"/>
                    </a:solidFill>
                    <a:latin typeface="Arial" panose="020B0604020202020204" pitchFamily="34" charset="0"/>
                    <a:cs typeface="Arial" panose="020B0604020202020204" pitchFamily="34" charset="0"/>
                  </a:rPr>
                  <a:t>HERBICIDES APPLIED</a:t>
                </a:r>
              </a:p>
            </c:rich>
          </c:tx>
          <c:layout>
            <c:manualLayout>
              <c:xMode val="edge"/>
              <c:yMode val="edge"/>
              <c:x val="0.313419072615923"/>
              <c:y val="0.88053222513852436"/>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358857392"/>
        <c:crosses val="autoZero"/>
        <c:auto val="1"/>
        <c:lblAlgn val="ctr"/>
        <c:lblOffset val="100"/>
        <c:noMultiLvlLbl val="0"/>
      </c:catAx>
      <c:valAx>
        <c:axId val="3588573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r>
                  <a:rPr lang="en-ZA" sz="1200">
                    <a:solidFill>
                      <a:schemeClr val="tx1"/>
                    </a:solidFill>
                    <a:latin typeface="Arial" panose="020B0604020202020204" pitchFamily="34" charset="0"/>
                    <a:cs typeface="Arial" panose="020B0604020202020204" pitchFamily="34" charset="0"/>
                  </a:rPr>
                  <a:t>Necrosis</a:t>
                </a:r>
                <a:r>
                  <a:rPr lang="en-ZA" sz="1200" baseline="0">
                    <a:solidFill>
                      <a:schemeClr val="tx1"/>
                    </a:solidFill>
                    <a:latin typeface="Arial" panose="020B0604020202020204" pitchFamily="34" charset="0"/>
                    <a:cs typeface="Arial" panose="020B0604020202020204" pitchFamily="34" charset="0"/>
                  </a:rPr>
                  <a:t> Percentage</a:t>
                </a:r>
                <a:endParaRPr lang="en-ZA" sz="1200">
                  <a:solidFill>
                    <a:schemeClr val="tx1"/>
                  </a:solidFill>
                  <a:latin typeface="Arial" panose="020B0604020202020204" pitchFamily="34" charset="0"/>
                  <a:cs typeface="Arial" panose="020B0604020202020204" pitchFamily="34" charset="0"/>
                </a:endParaRPr>
              </a:p>
            </c:rich>
          </c:tx>
          <c:layout>
            <c:manualLayout>
              <c:xMode val="edge"/>
              <c:yMode val="edge"/>
              <c:x val="1.6666666666666666E-2"/>
              <c:y val="0.17860309128025664"/>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3693987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24C03A-5803-49C6-9C4E-401233434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8</Pages>
  <Words>1959</Words>
  <Characters>11168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PC-03</dc:creator>
  <cp:keywords/>
  <dc:description/>
  <cp:lastModifiedBy>PC-03</cp:lastModifiedBy>
  <cp:revision>6</cp:revision>
  <dcterms:created xsi:type="dcterms:W3CDTF">2018-10-01T08:08:00Z</dcterms:created>
  <dcterms:modified xsi:type="dcterms:W3CDTF">2018-10-01T11:14:00Z</dcterms:modified>
</cp:coreProperties>
</file>