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1D5" w:rsidRPr="0083624E" w:rsidRDefault="0083624E" w:rsidP="0083624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83624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Title: </w:t>
      </w:r>
      <w:r w:rsidR="00C241D5" w:rsidRPr="0083624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Anti-inflammatory and anti-nociceptive activity of </w:t>
      </w:r>
      <w:r w:rsidR="00C241D5" w:rsidRPr="0083624E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 xml:space="preserve">Citrus </w:t>
      </w:r>
      <w:proofErr w:type="spellStart"/>
      <w:r w:rsidR="00C241D5" w:rsidRPr="0083624E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>albidus</w:t>
      </w:r>
      <w:proofErr w:type="spellEnd"/>
      <w:r w:rsidR="00C241D5" w:rsidRPr="0083624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extract</w:t>
      </w:r>
    </w:p>
    <w:p w:rsidR="0083624E" w:rsidRDefault="0083624E" w:rsidP="00C24A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C24A74" w:rsidRPr="00C241D5" w:rsidRDefault="0083624E" w:rsidP="00C24A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u w:val="single"/>
        </w:rPr>
      </w:pPr>
      <w:proofErr w:type="spellStart"/>
      <w:r w:rsidRPr="0083624E">
        <w:rPr>
          <w:rFonts w:asciiTheme="majorBidi" w:hAnsiTheme="majorBidi" w:cstheme="majorBidi"/>
          <w:b/>
          <w:bCs/>
          <w:sz w:val="24"/>
          <w:szCs w:val="24"/>
        </w:rPr>
        <w:t>Authors</w:t>
      </w:r>
      <w:proofErr w:type="spellEnd"/>
      <w:r w:rsidRPr="0083624E">
        <w:rPr>
          <w:rFonts w:asciiTheme="majorBidi" w:hAnsiTheme="majorBidi" w:cstheme="majorBidi"/>
          <w:b/>
          <w:bCs/>
          <w:sz w:val="24"/>
          <w:szCs w:val="24"/>
        </w:rPr>
        <w:t> 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241D5">
        <w:rPr>
          <w:rFonts w:asciiTheme="majorBidi" w:hAnsiTheme="majorBidi" w:cstheme="majorBidi"/>
          <w:sz w:val="24"/>
          <w:szCs w:val="24"/>
          <w:u w:val="single"/>
        </w:rPr>
        <w:t>Djebbar</w:t>
      </w:r>
      <w:proofErr w:type="spellEnd"/>
      <w:r w:rsidRPr="00C241D5">
        <w:rPr>
          <w:rFonts w:asciiTheme="majorBidi" w:hAnsiTheme="majorBidi" w:cstheme="majorBidi"/>
          <w:sz w:val="24"/>
          <w:szCs w:val="24"/>
          <w:u w:val="single"/>
        </w:rPr>
        <w:t xml:space="preserve"> Atmani</w:t>
      </w:r>
      <w:r w:rsidRPr="0083624E">
        <w:rPr>
          <w:rFonts w:asciiTheme="majorBidi" w:hAnsiTheme="majorBidi" w:cstheme="majorBidi"/>
          <w:sz w:val="24"/>
          <w:szCs w:val="24"/>
          <w:u w:val="single"/>
          <w:vertAlign w:val="superscript"/>
        </w:rPr>
        <w:t>1</w:t>
      </w:r>
      <w:r w:rsidR="00C24A74" w:rsidRPr="00C241D5">
        <w:rPr>
          <w:rFonts w:asciiTheme="majorBidi" w:hAnsiTheme="majorBidi" w:cstheme="majorBidi"/>
          <w:sz w:val="24"/>
          <w:szCs w:val="24"/>
        </w:rPr>
        <w:t>Ouahiba Tahiri</w:t>
      </w:r>
      <w:r w:rsidRPr="0083624E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="00C24A74" w:rsidRPr="00C241D5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  <w:u w:val="single"/>
        </w:rPr>
        <w:t xml:space="preserve">Dina </w:t>
      </w:r>
      <w:r w:rsidRPr="00C241D5">
        <w:rPr>
          <w:rFonts w:asciiTheme="majorBidi" w:hAnsiTheme="majorBidi" w:cstheme="majorBidi"/>
          <w:sz w:val="24"/>
          <w:szCs w:val="24"/>
          <w:u w:val="single"/>
        </w:rPr>
        <w:t>Atmani</w:t>
      </w:r>
      <w:r>
        <w:rPr>
          <w:rFonts w:asciiTheme="majorBidi" w:hAnsiTheme="majorBidi" w:cstheme="majorBidi"/>
          <w:sz w:val="24"/>
          <w:szCs w:val="24"/>
          <w:u w:val="single"/>
        </w:rPr>
        <w:t>-</w:t>
      </w:r>
      <w:r w:rsidRPr="0083624E">
        <w:rPr>
          <w:rFonts w:asciiTheme="majorBidi" w:hAnsiTheme="majorBidi" w:cstheme="majorBidi"/>
          <w:sz w:val="24"/>
          <w:szCs w:val="24"/>
          <w:u w:val="single"/>
        </w:rPr>
        <w:t>Kilani</w:t>
      </w:r>
      <w:r w:rsidRPr="0083624E">
        <w:rPr>
          <w:rFonts w:asciiTheme="majorBidi" w:hAnsiTheme="majorBidi" w:cstheme="majorBidi"/>
          <w:sz w:val="24"/>
          <w:szCs w:val="24"/>
          <w:u w:val="single"/>
        </w:rPr>
        <w:t>1</w:t>
      </w:r>
      <w:r>
        <w:rPr>
          <w:rFonts w:asciiTheme="majorBidi" w:hAnsiTheme="majorBidi" w:cstheme="majorBidi"/>
          <w:sz w:val="24"/>
          <w:szCs w:val="24"/>
          <w:u w:val="single"/>
        </w:rPr>
        <w:t xml:space="preserve">, </w:t>
      </w:r>
      <w:r w:rsidR="00C24A74" w:rsidRPr="0083624E">
        <w:rPr>
          <w:rFonts w:asciiTheme="majorBidi" w:hAnsiTheme="majorBidi" w:cstheme="majorBidi"/>
          <w:sz w:val="24"/>
          <w:szCs w:val="24"/>
        </w:rPr>
        <w:t>Susana</w:t>
      </w:r>
      <w:r w:rsidR="00C24A74" w:rsidRPr="00C241D5">
        <w:rPr>
          <w:rFonts w:asciiTheme="majorBidi" w:hAnsiTheme="majorBidi" w:cstheme="majorBidi"/>
          <w:sz w:val="24"/>
          <w:szCs w:val="24"/>
        </w:rPr>
        <w:t xml:space="preserve"> Sanchez-Fidalgo</w:t>
      </w:r>
      <w:bookmarkStart w:id="0" w:name="_Hlk508526583"/>
      <w:r w:rsidRPr="0083624E">
        <w:rPr>
          <w:rFonts w:asciiTheme="majorBidi" w:hAnsiTheme="majorBidi" w:cstheme="majorBidi"/>
          <w:sz w:val="24"/>
          <w:szCs w:val="24"/>
          <w:vertAlign w:val="superscript"/>
        </w:rPr>
        <w:t>2</w:t>
      </w:r>
      <w:bookmarkEnd w:id="0"/>
      <w:r w:rsidR="00C24A74" w:rsidRPr="00C241D5">
        <w:rPr>
          <w:rFonts w:asciiTheme="majorBidi" w:hAnsiTheme="majorBidi" w:cstheme="majorBidi"/>
          <w:sz w:val="24"/>
          <w:szCs w:val="24"/>
        </w:rPr>
        <w:t>, Marina Aparicio-Soto</w:t>
      </w:r>
      <w:r w:rsidRPr="0083624E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C24A74" w:rsidRPr="00C241D5">
        <w:rPr>
          <w:rFonts w:asciiTheme="majorBidi" w:hAnsiTheme="majorBidi" w:cstheme="majorBidi"/>
          <w:sz w:val="24"/>
          <w:szCs w:val="24"/>
        </w:rPr>
        <w:t>, Catalina Alarcón-de-la-Lastra</w:t>
      </w:r>
      <w:r w:rsidRPr="0083624E"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and </w:t>
      </w:r>
      <w:r w:rsidR="00C24A74" w:rsidRPr="00C241D5">
        <w:rPr>
          <w:rFonts w:asciiTheme="majorBidi" w:hAnsiTheme="majorBidi" w:cstheme="majorBidi"/>
          <w:sz w:val="24"/>
          <w:szCs w:val="24"/>
        </w:rPr>
        <w:t>Enrique Barrajón-Catalán</w:t>
      </w:r>
      <w:r w:rsidRPr="0083624E">
        <w:rPr>
          <w:rFonts w:asciiTheme="majorBidi" w:hAnsiTheme="majorBidi" w:cstheme="majorBidi"/>
          <w:sz w:val="24"/>
          <w:szCs w:val="24"/>
          <w:vertAlign w:val="superscript"/>
        </w:rPr>
        <w:t>2</w:t>
      </w:r>
    </w:p>
    <w:p w:rsidR="0083624E" w:rsidRDefault="0083624E" w:rsidP="00C24A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C241D5" w:rsidRPr="00C241D5" w:rsidRDefault="0083624E" w:rsidP="00C24A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83624E">
        <w:rPr>
          <w:rFonts w:asciiTheme="majorBidi" w:hAnsiTheme="majorBidi" w:cstheme="majorBidi"/>
          <w:b/>
          <w:bCs/>
          <w:sz w:val="24"/>
          <w:szCs w:val="24"/>
        </w:rPr>
        <w:t>Affiliation 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241D5" w:rsidRPr="00C241D5">
        <w:rPr>
          <w:rFonts w:asciiTheme="majorBidi" w:hAnsiTheme="majorBidi" w:cstheme="majorBidi"/>
          <w:sz w:val="24"/>
          <w:szCs w:val="24"/>
        </w:rPr>
        <w:t>Laboratoire de Biochimie Appliquée, Facul</w:t>
      </w:r>
      <w:bookmarkStart w:id="1" w:name="_GoBack"/>
      <w:bookmarkEnd w:id="1"/>
      <w:r w:rsidR="00C241D5" w:rsidRPr="00C241D5">
        <w:rPr>
          <w:rFonts w:asciiTheme="majorBidi" w:hAnsiTheme="majorBidi" w:cstheme="majorBidi"/>
          <w:sz w:val="24"/>
          <w:szCs w:val="24"/>
        </w:rPr>
        <w:t>té des Sciences de la Nature et de la Vie, Université de Bejaia, 06000, Algeria</w:t>
      </w:r>
    </w:p>
    <w:p w:rsidR="00C241D5" w:rsidRPr="00C241D5" w:rsidRDefault="00C241D5" w:rsidP="00C24A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  <w:r w:rsidRPr="00C241D5">
        <w:rPr>
          <w:rFonts w:asciiTheme="majorBidi" w:hAnsiTheme="majorBidi" w:cstheme="majorBidi"/>
          <w:sz w:val="24"/>
          <w:szCs w:val="24"/>
          <w:lang w:val="en-US"/>
        </w:rPr>
        <w:t>Department of Pharmacology, Faculty of Pharmacy, University of Seville, 41012, Spain</w:t>
      </w:r>
    </w:p>
    <w:p w:rsidR="00C241D5" w:rsidRDefault="00C241D5" w:rsidP="0068461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</w:p>
    <w:p w:rsidR="00C241D5" w:rsidRPr="00C241D5" w:rsidRDefault="00C241D5" w:rsidP="0068461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</w:pPr>
      <w:r w:rsidRPr="00C241D5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>Abstract</w:t>
      </w:r>
    </w:p>
    <w:p w:rsidR="00684611" w:rsidRPr="00684611" w:rsidRDefault="00684611" w:rsidP="0068461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241D5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Cistus </w:t>
      </w:r>
      <w:proofErr w:type="spellStart"/>
      <w:r w:rsidRPr="00C241D5">
        <w:rPr>
          <w:rFonts w:asciiTheme="majorBidi" w:hAnsiTheme="majorBidi" w:cstheme="majorBidi"/>
          <w:i/>
          <w:iCs/>
          <w:sz w:val="24"/>
          <w:szCs w:val="24"/>
          <w:lang w:val="en-US"/>
        </w:rPr>
        <w:t>albidus</w:t>
      </w:r>
      <w:proofErr w:type="spellEnd"/>
      <w:r w:rsidRPr="00C241D5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L</w:t>
      </w:r>
      <w:r w:rsidRPr="00C241D5">
        <w:rPr>
          <w:rFonts w:asciiTheme="majorBidi" w:hAnsiTheme="majorBidi" w:cstheme="majorBidi"/>
          <w:sz w:val="24"/>
          <w:szCs w:val="24"/>
          <w:lang w:val="en-US"/>
        </w:rPr>
        <w:t>. (</w:t>
      </w:r>
      <w:proofErr w:type="spellStart"/>
      <w:r w:rsidRPr="00C241D5">
        <w:rPr>
          <w:rFonts w:asciiTheme="majorBidi" w:hAnsiTheme="majorBidi" w:cstheme="majorBidi"/>
          <w:sz w:val="24"/>
          <w:szCs w:val="24"/>
          <w:lang w:val="en-US"/>
        </w:rPr>
        <w:t>Cistaceae</w:t>
      </w:r>
      <w:proofErr w:type="spellEnd"/>
      <w:r w:rsidRPr="00C241D5">
        <w:rPr>
          <w:rFonts w:asciiTheme="majorBidi" w:hAnsiTheme="majorBidi" w:cstheme="majorBidi"/>
          <w:sz w:val="24"/>
          <w:szCs w:val="24"/>
          <w:lang w:val="en-US"/>
        </w:rPr>
        <w:t xml:space="preserve">) </w:t>
      </w:r>
      <w:r w:rsidR="00C24A74" w:rsidRPr="00C241D5">
        <w:rPr>
          <w:rFonts w:asciiTheme="majorBidi" w:hAnsiTheme="majorBidi" w:cstheme="majorBidi"/>
          <w:sz w:val="24"/>
          <w:szCs w:val="24"/>
          <w:lang w:val="en-US"/>
        </w:rPr>
        <w:t>is</w:t>
      </w:r>
      <w:r w:rsidRPr="00C241D5">
        <w:rPr>
          <w:rFonts w:asciiTheme="majorBidi" w:hAnsiTheme="majorBidi" w:cstheme="majorBidi"/>
          <w:sz w:val="24"/>
          <w:szCs w:val="24"/>
          <w:lang w:val="en-US"/>
        </w:rPr>
        <w:t xml:space="preserve"> traditionally used to treat various inflammatory diseases</w:t>
      </w:r>
      <w:r w:rsidR="00C24A74" w:rsidRPr="00C241D5">
        <w:rPr>
          <w:rFonts w:asciiTheme="majorBidi" w:hAnsiTheme="majorBidi" w:cstheme="majorBidi"/>
          <w:sz w:val="24"/>
          <w:szCs w:val="24"/>
          <w:lang w:val="en-US"/>
        </w:rPr>
        <w:t>. Hence, t</w:t>
      </w:r>
      <w:r w:rsidRPr="00C241D5">
        <w:rPr>
          <w:rFonts w:asciiTheme="majorBidi" w:hAnsiTheme="majorBidi" w:cstheme="majorBidi"/>
          <w:sz w:val="24"/>
          <w:szCs w:val="24"/>
          <w:lang w:val="en-US"/>
        </w:rPr>
        <w:t>his study was designed to explore the anti-inflammatory and antinociceptive effects of this plant and to further elucidate its polyphenolic</w:t>
      </w:r>
      <w:r w:rsidRPr="0068461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>constituents</w:t>
      </w:r>
      <w:r w:rsidRPr="0068461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>using appropriate procedures</w:t>
      </w:r>
      <w:r w:rsidRPr="00684611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684611" w:rsidRPr="00684611" w:rsidRDefault="00684611" w:rsidP="00C24A74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The nociceptive and anti-inflammatory actions were </w:t>
      </w:r>
      <w:r w:rsidR="00C24A74">
        <w:rPr>
          <w:rFonts w:asciiTheme="majorBidi" w:hAnsiTheme="majorBidi" w:cstheme="majorBidi"/>
          <w:sz w:val="24"/>
          <w:szCs w:val="24"/>
          <w:lang w:val="en-US"/>
        </w:rPr>
        <w:t xml:space="preserve">carried out using acetic acid-induced writhing and tail immersion tests, and carrageenan-induced paw edema, respectively. </w:t>
      </w:r>
      <w:r w:rsidRPr="00684611">
        <w:rPr>
          <w:rFonts w:asciiTheme="majorBidi" w:hAnsiTheme="majorBidi" w:cstheme="majorBidi"/>
          <w:sz w:val="24"/>
          <w:szCs w:val="24"/>
          <w:lang w:val="en-US"/>
        </w:rPr>
        <w:t>Changes in cyclooxygenase (COX)-2 and inducible nitric oxide synthase (</w:t>
      </w:r>
      <w:proofErr w:type="spellStart"/>
      <w:r w:rsidRPr="00684611">
        <w:rPr>
          <w:rFonts w:asciiTheme="majorBidi" w:hAnsiTheme="majorBidi" w:cstheme="majorBidi"/>
          <w:sz w:val="24"/>
          <w:szCs w:val="24"/>
          <w:lang w:val="en-US"/>
        </w:rPr>
        <w:t>iNOS</w:t>
      </w:r>
      <w:proofErr w:type="spellEnd"/>
      <w:r w:rsidRPr="00684611">
        <w:rPr>
          <w:rFonts w:asciiTheme="majorBidi" w:hAnsiTheme="majorBidi" w:cstheme="majorBidi"/>
          <w:sz w:val="24"/>
          <w:szCs w:val="24"/>
          <w:lang w:val="en-US"/>
        </w:rPr>
        <w:t>)</w:t>
      </w:r>
      <w:r w:rsidR="00C24A7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611">
        <w:rPr>
          <w:rFonts w:asciiTheme="majorBidi" w:hAnsiTheme="majorBidi" w:cstheme="majorBidi"/>
          <w:sz w:val="24"/>
          <w:szCs w:val="24"/>
          <w:lang w:val="en-US"/>
        </w:rPr>
        <w:t>expression, as well as the role of mitogen-activated protein kinases (MAPKs) and the nuclear transcription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611">
        <w:rPr>
          <w:rFonts w:asciiTheme="majorBidi" w:hAnsiTheme="majorBidi" w:cstheme="majorBidi"/>
          <w:sz w:val="24"/>
          <w:szCs w:val="24"/>
          <w:lang w:val="en-US"/>
        </w:rPr>
        <w:t>factor kappa B (NF-kB) signaling pathways on lipopolysaccharide (LPS)-stimulated murine peritoneal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611">
        <w:rPr>
          <w:rFonts w:asciiTheme="majorBidi" w:hAnsiTheme="majorBidi" w:cstheme="majorBidi"/>
          <w:sz w:val="24"/>
          <w:szCs w:val="24"/>
          <w:lang w:val="en-US"/>
        </w:rPr>
        <w:t>macrophages were analyzed by western blotting. HPLC with diode array detection coupled to tandem mass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611">
        <w:rPr>
          <w:rFonts w:asciiTheme="majorBidi" w:hAnsiTheme="majorBidi" w:cstheme="majorBidi"/>
          <w:sz w:val="24"/>
          <w:szCs w:val="24"/>
          <w:lang w:val="en-US"/>
        </w:rPr>
        <w:t>spectrometry detection with electrospray ionization (HPLC-DAD-ESI-MS/MS) was performed to determine the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611">
        <w:rPr>
          <w:rFonts w:asciiTheme="majorBidi" w:hAnsiTheme="majorBidi" w:cstheme="majorBidi"/>
          <w:sz w:val="24"/>
          <w:szCs w:val="24"/>
          <w:lang w:val="en-US"/>
        </w:rPr>
        <w:t>phytochemical profile of the extract.</w:t>
      </w:r>
    </w:p>
    <w:p w:rsidR="00684611" w:rsidRPr="00684611" w:rsidRDefault="00C24A74" w:rsidP="0068461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Obtained results indicated s</w:t>
      </w:r>
      <w:r w:rsidR="00684611" w:rsidRPr="00684611">
        <w:rPr>
          <w:rFonts w:asciiTheme="majorBidi" w:hAnsiTheme="majorBidi" w:cstheme="majorBidi"/>
          <w:sz w:val="24"/>
          <w:szCs w:val="24"/>
          <w:lang w:val="en-US"/>
        </w:rPr>
        <w:t>ignificant anti-nociceptive activity both in the tail immersion (59.63% reduction at</w:t>
      </w:r>
      <w:r w:rsidR="0068461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84611" w:rsidRPr="00684611">
        <w:rPr>
          <w:rFonts w:asciiTheme="majorBidi" w:hAnsiTheme="majorBidi" w:cstheme="majorBidi"/>
          <w:sz w:val="24"/>
          <w:szCs w:val="24"/>
          <w:lang w:val="en-US"/>
        </w:rPr>
        <w:t>120 min) and in the acetic acid (65.94% inhibition) tests at 100 mg/kg. The extract (50 mg/kg) exhibited a</w:t>
      </w:r>
      <w:r w:rsidR="0068461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84611" w:rsidRPr="00684611">
        <w:rPr>
          <w:rFonts w:asciiTheme="majorBidi" w:hAnsiTheme="majorBidi" w:cstheme="majorBidi"/>
          <w:sz w:val="24"/>
          <w:szCs w:val="24"/>
          <w:lang w:val="en-US"/>
        </w:rPr>
        <w:t>substantial reduction in paw edema (51.6%) and significantly inhibited nitrite generation (72.62%)</w:t>
      </w:r>
      <w:r>
        <w:rPr>
          <w:rFonts w:asciiTheme="majorBidi" w:hAnsiTheme="majorBidi" w:cstheme="majorBidi"/>
          <w:sz w:val="24"/>
          <w:szCs w:val="24"/>
          <w:lang w:val="en-US"/>
        </w:rPr>
        <w:t>,</w:t>
      </w:r>
      <w:r w:rsidR="00684611" w:rsidRPr="00684611">
        <w:rPr>
          <w:rFonts w:asciiTheme="majorBidi" w:hAnsiTheme="majorBidi" w:cstheme="majorBidi"/>
          <w:sz w:val="24"/>
          <w:szCs w:val="24"/>
          <w:lang w:val="en-US"/>
        </w:rPr>
        <w:t xml:space="preserve"> without</w:t>
      </w:r>
      <w:r w:rsidR="0068461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84611" w:rsidRPr="00684611">
        <w:rPr>
          <w:rFonts w:asciiTheme="majorBidi" w:hAnsiTheme="majorBidi" w:cstheme="majorBidi"/>
          <w:sz w:val="24"/>
          <w:szCs w:val="24"/>
          <w:lang w:val="en-US"/>
        </w:rPr>
        <w:t>affecting cell viability of LPS-stimulated murine peritoneal macrophages. These results were concomitant with a</w:t>
      </w:r>
      <w:r w:rsidR="0068461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84611" w:rsidRPr="00684611">
        <w:rPr>
          <w:rFonts w:asciiTheme="majorBidi" w:hAnsiTheme="majorBidi" w:cstheme="majorBidi"/>
          <w:sz w:val="24"/>
          <w:szCs w:val="24"/>
          <w:lang w:val="en-US"/>
        </w:rPr>
        <w:t xml:space="preserve">down-regulation of the pro-inflammatory enzymes COX-2 and </w:t>
      </w:r>
      <w:proofErr w:type="spellStart"/>
      <w:r w:rsidR="00684611" w:rsidRPr="00684611">
        <w:rPr>
          <w:rFonts w:asciiTheme="majorBidi" w:hAnsiTheme="majorBidi" w:cstheme="majorBidi"/>
          <w:sz w:val="24"/>
          <w:szCs w:val="24"/>
          <w:lang w:val="en-US"/>
        </w:rPr>
        <w:t>iNOS</w:t>
      </w:r>
      <w:proofErr w:type="spellEnd"/>
      <w:r w:rsidR="00684611" w:rsidRPr="00684611">
        <w:rPr>
          <w:rFonts w:asciiTheme="majorBidi" w:hAnsiTheme="majorBidi" w:cstheme="majorBidi"/>
          <w:sz w:val="24"/>
          <w:szCs w:val="24"/>
          <w:lang w:val="en-US"/>
        </w:rPr>
        <w:t xml:space="preserve"> in extract-treated macrophages and a</w:t>
      </w:r>
      <w:r w:rsidR="0068461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84611" w:rsidRPr="00684611">
        <w:rPr>
          <w:rFonts w:asciiTheme="majorBidi" w:hAnsiTheme="majorBidi" w:cstheme="majorBidi"/>
          <w:sz w:val="24"/>
          <w:szCs w:val="24"/>
          <w:lang w:val="en-US"/>
        </w:rPr>
        <w:t xml:space="preserve">decrease in p38 MAPK phosphorylation. HPLC-DAD-ESI-MS/MS analysis revealed that </w:t>
      </w:r>
      <w:proofErr w:type="spellStart"/>
      <w:r w:rsidR="00684611" w:rsidRPr="00684611">
        <w:rPr>
          <w:rFonts w:asciiTheme="majorBidi" w:hAnsiTheme="majorBidi" w:cstheme="majorBidi"/>
          <w:sz w:val="24"/>
          <w:szCs w:val="24"/>
          <w:lang w:val="en-US"/>
        </w:rPr>
        <w:t>flavonols</w:t>
      </w:r>
      <w:proofErr w:type="spellEnd"/>
      <w:r w:rsidR="00684611" w:rsidRPr="00684611">
        <w:rPr>
          <w:rFonts w:asciiTheme="majorBidi" w:hAnsiTheme="majorBidi" w:cstheme="majorBidi"/>
          <w:sz w:val="24"/>
          <w:szCs w:val="24"/>
          <w:lang w:val="en-US"/>
        </w:rPr>
        <w:t xml:space="preserve"> such as</w:t>
      </w:r>
      <w:r w:rsidR="0068461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84611" w:rsidRPr="00684611">
        <w:rPr>
          <w:rFonts w:asciiTheme="majorBidi" w:hAnsiTheme="majorBidi" w:cstheme="majorBidi"/>
          <w:sz w:val="24"/>
          <w:szCs w:val="24"/>
          <w:lang w:val="en-US"/>
        </w:rPr>
        <w:t>kaempferol and quercetin derivatives were potentially responsible for such effects.</w:t>
      </w:r>
    </w:p>
    <w:p w:rsidR="00277483" w:rsidRDefault="00684611" w:rsidP="0068461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684611">
        <w:rPr>
          <w:rFonts w:asciiTheme="majorBidi" w:hAnsiTheme="majorBidi" w:cstheme="majorBidi"/>
          <w:sz w:val="24"/>
          <w:szCs w:val="24"/>
          <w:lang w:val="en-US"/>
        </w:rPr>
        <w:t xml:space="preserve">These results support the widespread use of </w:t>
      </w:r>
      <w:r w:rsidRPr="00C24A74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C. </w:t>
      </w:r>
      <w:proofErr w:type="spellStart"/>
      <w:r w:rsidRPr="00C24A74">
        <w:rPr>
          <w:rFonts w:asciiTheme="majorBidi" w:hAnsiTheme="majorBidi" w:cstheme="majorBidi"/>
          <w:i/>
          <w:iCs/>
          <w:sz w:val="24"/>
          <w:szCs w:val="24"/>
          <w:lang w:val="en-US"/>
        </w:rPr>
        <w:t>albidus</w:t>
      </w:r>
      <w:proofErr w:type="spellEnd"/>
      <w:r w:rsidRPr="00684611">
        <w:rPr>
          <w:rFonts w:asciiTheme="majorBidi" w:hAnsiTheme="majorBidi" w:cstheme="majorBidi"/>
          <w:sz w:val="24"/>
          <w:szCs w:val="24"/>
          <w:lang w:val="en-US"/>
        </w:rPr>
        <w:t xml:space="preserve"> in popular medicine and indicate that this plant has therapeutic potential with analgesic and anti-inflammatory properties based on the presence of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684611">
        <w:rPr>
          <w:rFonts w:asciiTheme="majorBidi" w:hAnsiTheme="majorBidi" w:cstheme="majorBidi"/>
          <w:sz w:val="24"/>
          <w:szCs w:val="24"/>
          <w:lang w:val="en-US"/>
        </w:rPr>
        <w:t>flavonol</w:t>
      </w:r>
      <w:proofErr w:type="spellEnd"/>
      <w:r w:rsidRPr="00684611">
        <w:rPr>
          <w:rFonts w:asciiTheme="majorBidi" w:hAnsiTheme="majorBidi" w:cstheme="majorBidi"/>
          <w:sz w:val="24"/>
          <w:szCs w:val="24"/>
          <w:lang w:val="en-US"/>
        </w:rPr>
        <w:t xml:space="preserve"> derivatives.</w:t>
      </w:r>
    </w:p>
    <w:p w:rsidR="00C241D5" w:rsidRDefault="00C241D5" w:rsidP="0068461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C241D5" w:rsidRPr="00684611" w:rsidRDefault="00C241D5" w:rsidP="0068461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3624E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>Keywords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Pr="00C241D5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Citrus </w:t>
      </w:r>
      <w:proofErr w:type="spellStart"/>
      <w:r w:rsidRPr="00C241D5">
        <w:rPr>
          <w:rFonts w:asciiTheme="majorBidi" w:hAnsiTheme="majorBidi" w:cstheme="majorBidi"/>
          <w:i/>
          <w:iCs/>
          <w:sz w:val="24"/>
          <w:szCs w:val="24"/>
          <w:lang w:val="en-US"/>
        </w:rPr>
        <w:t>albidus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Anti-inflammatory, Anti-nociceptive,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Kampferol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, Quercetin.</w:t>
      </w:r>
    </w:p>
    <w:sectPr w:rsidR="00C241D5" w:rsidRPr="006846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611"/>
    <w:rsid w:val="00277483"/>
    <w:rsid w:val="00684611"/>
    <w:rsid w:val="00685DAD"/>
    <w:rsid w:val="0083624E"/>
    <w:rsid w:val="00C241D5"/>
    <w:rsid w:val="00C2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67506"/>
  <w15:chartTrackingRefBased/>
  <w15:docId w15:val="{AA8C51D4-CC67-414E-B137-00744D189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384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2018-03-11T07:56:00Z</dcterms:created>
  <dcterms:modified xsi:type="dcterms:W3CDTF">2018-03-11T09:16:00Z</dcterms:modified>
</cp:coreProperties>
</file>