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2E" w:rsidRPr="004F2D2E" w:rsidRDefault="004F2D2E" w:rsidP="004F2D2E">
      <w:pPr>
        <w:pStyle w:val="MDPI17abstract"/>
        <w:spacing w:before="0"/>
        <w:ind w:left="90"/>
        <w:rPr>
          <w:rFonts w:ascii="Book Antiqua" w:hAnsi="Book Antiqua"/>
          <w:b/>
          <w:color w:val="auto"/>
          <w:sz w:val="24"/>
          <w:szCs w:val="24"/>
        </w:rPr>
      </w:pPr>
      <w:r w:rsidRPr="004F2D2E">
        <w:rPr>
          <w:rFonts w:ascii="Book Antiqua" w:hAnsi="Book Antiqua"/>
          <w:b/>
          <w:color w:val="auto"/>
          <w:sz w:val="24"/>
          <w:szCs w:val="24"/>
        </w:rPr>
        <w:t xml:space="preserve">Dynamic </w:t>
      </w:r>
      <w:proofErr w:type="spellStart"/>
      <w:r w:rsidRPr="004F2D2E">
        <w:rPr>
          <w:rFonts w:ascii="Book Antiqua" w:hAnsi="Book Antiqua"/>
          <w:b/>
          <w:color w:val="auto"/>
          <w:sz w:val="24"/>
          <w:szCs w:val="24"/>
        </w:rPr>
        <w:t>transcriptome</w:t>
      </w:r>
      <w:proofErr w:type="spellEnd"/>
      <w:r w:rsidRPr="004F2D2E">
        <w:rPr>
          <w:rFonts w:ascii="Book Antiqua" w:hAnsi="Book Antiqua"/>
          <w:b/>
          <w:color w:val="auto"/>
          <w:sz w:val="24"/>
          <w:szCs w:val="24"/>
        </w:rPr>
        <w:t xml:space="preserve"> profiling of </w:t>
      </w:r>
      <w:proofErr w:type="spellStart"/>
      <w:r w:rsidRPr="004F2D2E">
        <w:rPr>
          <w:rFonts w:ascii="Book Antiqua" w:hAnsi="Book Antiqua"/>
          <w:b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b/>
          <w:color w:val="auto"/>
          <w:sz w:val="24"/>
          <w:szCs w:val="24"/>
        </w:rPr>
        <w:t xml:space="preserve"> genotypes </w:t>
      </w:r>
      <w:r w:rsidRPr="004F2D2E">
        <w:rPr>
          <w:rFonts w:ascii="Book Antiqua" w:hAnsi="Book Antiqua"/>
          <w:b/>
          <w:iCs/>
          <w:color w:val="auto"/>
          <w:sz w:val="24"/>
          <w:szCs w:val="24"/>
        </w:rPr>
        <w:t xml:space="preserve">pinpoints the </w:t>
      </w:r>
      <w:proofErr w:type="gramStart"/>
      <w:r w:rsidRPr="004F2D2E">
        <w:rPr>
          <w:rFonts w:ascii="Book Antiqua" w:hAnsi="Book Antiqua"/>
          <w:b/>
          <w:iCs/>
          <w:color w:val="auto"/>
          <w:sz w:val="24"/>
          <w:szCs w:val="24"/>
        </w:rPr>
        <w:t xml:space="preserve">putative  </w:t>
      </w:r>
      <w:r w:rsidRPr="004F2D2E">
        <w:rPr>
          <w:rFonts w:ascii="Book Antiqua" w:hAnsi="Book Antiqua"/>
          <w:b/>
          <w:color w:val="auto"/>
          <w:sz w:val="24"/>
          <w:szCs w:val="24"/>
        </w:rPr>
        <w:t>genes</w:t>
      </w:r>
      <w:proofErr w:type="gramEnd"/>
      <w:r w:rsidRPr="004F2D2E">
        <w:rPr>
          <w:rFonts w:ascii="Book Antiqua" w:hAnsi="Book Antiqua"/>
          <w:b/>
          <w:color w:val="auto"/>
          <w:sz w:val="24"/>
          <w:szCs w:val="24"/>
        </w:rPr>
        <w:t xml:space="preserve"> linked with resistance to </w:t>
      </w:r>
      <w:proofErr w:type="spellStart"/>
      <w:r w:rsidRPr="004F2D2E">
        <w:rPr>
          <w:rFonts w:ascii="Book Antiqua" w:hAnsi="Book Antiqua"/>
          <w:b/>
          <w:color w:val="auto"/>
          <w:sz w:val="24"/>
          <w:szCs w:val="24"/>
        </w:rPr>
        <w:t>mungbeanyellow</w:t>
      </w:r>
      <w:proofErr w:type="spellEnd"/>
      <w:r w:rsidRPr="004F2D2E">
        <w:rPr>
          <w:rFonts w:ascii="Book Antiqua" w:hAnsi="Book Antiqua"/>
          <w:b/>
          <w:color w:val="auto"/>
          <w:sz w:val="24"/>
          <w:szCs w:val="24"/>
        </w:rPr>
        <w:t xml:space="preserve"> mosaic virus</w:t>
      </w:r>
    </w:p>
    <w:p w:rsidR="004F2D2E" w:rsidRPr="004F2D2E" w:rsidRDefault="004F2D2E" w:rsidP="004F2D2E">
      <w:pPr>
        <w:spacing w:after="0"/>
        <w:rPr>
          <w:lang w:eastAsia="de-DE" w:bidi="en-US"/>
        </w:rPr>
      </w:pPr>
    </w:p>
    <w:p w:rsidR="004F2D2E" w:rsidRPr="004F2D2E" w:rsidRDefault="004F2D2E" w:rsidP="004F2D2E">
      <w:pPr>
        <w:spacing w:after="0" w:line="240" w:lineRule="auto"/>
        <w:ind w:left="180" w:hanging="180"/>
        <w:rPr>
          <w:rFonts w:ascii="Book Antiqua" w:hAnsi="Book Antiqua"/>
          <w:sz w:val="18"/>
          <w:szCs w:val="18"/>
          <w:vertAlign w:val="superscript"/>
          <w:lang w:eastAsia="de-DE" w:bidi="en-US"/>
        </w:rPr>
      </w:pPr>
      <w:r w:rsidRPr="004F2D2E">
        <w:rPr>
          <w:rFonts w:ascii="Book Antiqua" w:hAnsi="Book Antiqua"/>
          <w:sz w:val="24"/>
          <w:szCs w:val="24"/>
          <w:lang w:eastAsia="de-DE" w:bidi="en-US"/>
        </w:rPr>
        <w:t xml:space="preserve">  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Manickam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Sudha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1</w:t>
      </w: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Adhimoolam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Karthikeyan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1</w:t>
      </w: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Balasubramaniam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Madhumitha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1</w:t>
      </w: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Muthaiyan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Pandiyan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2</w:t>
      </w: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Natesan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Senthil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1</w:t>
      </w: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and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Muthurajan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Raveendran</w:t>
      </w:r>
      <w:r w:rsidRPr="004F2D2E">
        <w:rPr>
          <w:rFonts w:ascii="Book Antiqua" w:hAnsi="Book Antiqua"/>
          <w:sz w:val="18"/>
          <w:szCs w:val="18"/>
          <w:vertAlign w:val="superscript"/>
          <w:lang w:eastAsia="de-DE" w:bidi="en-US"/>
        </w:rPr>
        <w:t>1</w:t>
      </w:r>
    </w:p>
    <w:p w:rsidR="004F2D2E" w:rsidRPr="004F2D2E" w:rsidRDefault="004F2D2E" w:rsidP="004F2D2E">
      <w:pPr>
        <w:spacing w:after="0" w:line="240" w:lineRule="auto"/>
        <w:ind w:left="180" w:hanging="180"/>
        <w:rPr>
          <w:rFonts w:ascii="Book Antiqua" w:hAnsi="Book Antiqua"/>
          <w:sz w:val="18"/>
          <w:szCs w:val="18"/>
          <w:lang w:eastAsia="de-DE" w:bidi="en-US"/>
        </w:rPr>
      </w:pPr>
    </w:p>
    <w:p w:rsidR="004F2D2E" w:rsidRPr="004F2D2E" w:rsidRDefault="004F2D2E" w:rsidP="004F2D2E">
      <w:pPr>
        <w:spacing w:after="0" w:line="240" w:lineRule="auto"/>
        <w:ind w:left="187" w:hanging="187"/>
        <w:rPr>
          <w:rFonts w:ascii="Book Antiqua" w:hAnsi="Book Antiqua"/>
          <w:sz w:val="18"/>
          <w:szCs w:val="18"/>
          <w:lang w:val="en-GB" w:eastAsia="de-DE" w:bidi="en-US"/>
        </w:rPr>
      </w:pPr>
      <w:r w:rsidRPr="004F2D2E">
        <w:rPr>
          <w:rFonts w:ascii="Book Antiqua" w:hAnsi="Book Antiqua"/>
          <w:sz w:val="18"/>
          <w:szCs w:val="18"/>
          <w:lang w:val="en-GB" w:eastAsia="de-DE" w:bidi="en-US"/>
        </w:rPr>
        <w:t xml:space="preserve">    1. Department of Plant Biotechnology, </w:t>
      </w:r>
      <w:proofErr w:type="spellStart"/>
      <w:r w:rsidRPr="004F2D2E">
        <w:rPr>
          <w:rFonts w:ascii="Book Antiqua" w:hAnsi="Book Antiqua"/>
          <w:sz w:val="18"/>
          <w:szCs w:val="18"/>
          <w:lang w:val="en-GB" w:eastAsia="de-DE" w:bidi="en-US"/>
        </w:rPr>
        <w:t>Center</w:t>
      </w:r>
      <w:proofErr w:type="spellEnd"/>
      <w:r w:rsidRPr="004F2D2E">
        <w:rPr>
          <w:rFonts w:ascii="Book Antiqua" w:hAnsi="Book Antiqua"/>
          <w:sz w:val="18"/>
          <w:szCs w:val="18"/>
          <w:lang w:val="en-GB" w:eastAsia="de-DE" w:bidi="en-US"/>
        </w:rPr>
        <w:t xml:space="preserve"> for Plant Molecular Biology and Biotechnology, Tamil Nadu Agricultural University, Coimbatore, Tamil Nadu, India</w:t>
      </w:r>
    </w:p>
    <w:p w:rsidR="004F2D2E" w:rsidRPr="004F2D2E" w:rsidRDefault="004F2D2E" w:rsidP="004F2D2E">
      <w:pPr>
        <w:spacing w:after="0" w:line="240" w:lineRule="auto"/>
        <w:ind w:left="187" w:hanging="187"/>
        <w:rPr>
          <w:rFonts w:ascii="Book Antiqua" w:hAnsi="Book Antiqua"/>
          <w:sz w:val="18"/>
          <w:szCs w:val="18"/>
          <w:lang w:eastAsia="de-DE" w:bidi="en-US"/>
        </w:rPr>
      </w:pPr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   2. Regional Research Station, Tamil Nadu Agricultural University,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Virudhachalam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 xml:space="preserve">, </w:t>
      </w:r>
      <w:proofErr w:type="spellStart"/>
      <w:r w:rsidRPr="004F2D2E">
        <w:rPr>
          <w:rFonts w:ascii="Book Antiqua" w:hAnsi="Book Antiqua"/>
          <w:sz w:val="18"/>
          <w:szCs w:val="18"/>
          <w:lang w:eastAsia="de-DE" w:bidi="en-US"/>
        </w:rPr>
        <w:t>Cuddalore</w:t>
      </w:r>
      <w:proofErr w:type="spellEnd"/>
      <w:r w:rsidRPr="004F2D2E">
        <w:rPr>
          <w:rFonts w:ascii="Book Antiqua" w:hAnsi="Book Antiqua"/>
          <w:sz w:val="18"/>
          <w:szCs w:val="18"/>
          <w:lang w:eastAsia="de-DE" w:bidi="en-US"/>
        </w:rPr>
        <w:t>, India</w:t>
      </w:r>
    </w:p>
    <w:p w:rsidR="004F2D2E" w:rsidRPr="004F2D2E" w:rsidRDefault="004F2D2E" w:rsidP="004F2D2E">
      <w:pPr>
        <w:pStyle w:val="MDPI16affiliation"/>
        <w:spacing w:line="240" w:lineRule="auto"/>
        <w:ind w:left="0" w:firstLine="0"/>
        <w:rPr>
          <w:color w:val="auto"/>
          <w:sz w:val="18"/>
          <w:lang w:val="en-GB"/>
        </w:rPr>
      </w:pPr>
      <w:r w:rsidRPr="004F2D2E">
        <w:rPr>
          <w:color w:val="auto"/>
          <w:sz w:val="18"/>
          <w:lang w:val="en-GB"/>
        </w:rPr>
        <w:t xml:space="preserve"> </w:t>
      </w:r>
    </w:p>
    <w:p w:rsidR="004F2D2E" w:rsidRPr="004F2D2E" w:rsidRDefault="004F2D2E" w:rsidP="004F2D2E">
      <w:pPr>
        <w:pStyle w:val="MDPI16affiliation"/>
        <w:spacing w:line="240" w:lineRule="auto"/>
        <w:ind w:left="0" w:firstLine="0"/>
        <w:rPr>
          <w:color w:val="auto"/>
          <w:sz w:val="18"/>
        </w:rPr>
      </w:pPr>
      <w:r w:rsidRPr="004F2D2E">
        <w:rPr>
          <w:color w:val="auto"/>
          <w:sz w:val="18"/>
          <w:lang w:val="en-GB"/>
        </w:rPr>
        <w:t xml:space="preserve">   Correspondence to </w:t>
      </w:r>
      <w:proofErr w:type="spellStart"/>
      <w:r w:rsidRPr="004F2D2E">
        <w:rPr>
          <w:color w:val="auto"/>
          <w:sz w:val="18"/>
          <w:lang w:val="en-GB"/>
        </w:rPr>
        <w:t>ManickamSudha</w:t>
      </w:r>
      <w:proofErr w:type="spellEnd"/>
      <w:r w:rsidRPr="004F2D2E">
        <w:rPr>
          <w:color w:val="auto"/>
          <w:sz w:val="18"/>
          <w:lang w:val="en-GB"/>
        </w:rPr>
        <w:t>* (</w:t>
      </w:r>
      <w:r w:rsidRPr="004F2D2E">
        <w:rPr>
          <w:color w:val="auto"/>
          <w:sz w:val="18"/>
          <w:u w:val="single"/>
          <w:lang w:val="en-GB"/>
        </w:rPr>
        <w:t>sudhatamil@gmail.com</w:t>
      </w:r>
      <w:r w:rsidRPr="004F2D2E">
        <w:rPr>
          <w:color w:val="auto"/>
          <w:sz w:val="18"/>
          <w:lang w:val="en-GB"/>
        </w:rPr>
        <w:t>)</w:t>
      </w:r>
    </w:p>
    <w:p w:rsidR="004F2D2E" w:rsidRPr="004F2D2E" w:rsidRDefault="004F2D2E" w:rsidP="004F2D2E">
      <w:pPr>
        <w:ind w:left="180" w:hanging="180"/>
        <w:rPr>
          <w:rFonts w:ascii="Book Antiqua" w:hAnsi="Book Antiqua"/>
          <w:sz w:val="18"/>
          <w:szCs w:val="18"/>
          <w:lang w:eastAsia="de-DE" w:bidi="en-US"/>
        </w:rPr>
      </w:pPr>
    </w:p>
    <w:p w:rsidR="004F2D2E" w:rsidRPr="004F2D2E" w:rsidRDefault="004F2D2E" w:rsidP="004F2D2E">
      <w:pPr>
        <w:pStyle w:val="MDPI17abstract"/>
        <w:ind w:left="90"/>
        <w:rPr>
          <w:rFonts w:ascii="Book Antiqua" w:hAnsi="Book Antiqua"/>
          <w:color w:val="auto"/>
          <w:sz w:val="24"/>
          <w:szCs w:val="24"/>
        </w:rPr>
      </w:pPr>
      <w:r w:rsidRPr="004F2D2E">
        <w:rPr>
          <w:rFonts w:ascii="Book Antiqua" w:hAnsi="Book Antiqua"/>
          <w:color w:val="auto"/>
          <w:sz w:val="24"/>
          <w:szCs w:val="24"/>
        </w:rPr>
        <w:t xml:space="preserve">Yellow mosaic disease (YMD), incited by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yellow mosaic virus (MYMV), and is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aprimary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viral disease that reduces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mungbeanproduction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in South Asia, especially in India. There is no detailed knowledge regarding the genes and molecular mechanisms conferring resistance of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to MYMV. Therefore, disclosing the genetic and molecular bases related to MYMV r</w:t>
      </w:r>
      <w:r w:rsidRPr="004F2D2E">
        <w:rPr>
          <w:rFonts w:ascii="Book Antiqua" w:hAnsi="Book Antiqua"/>
          <w:color w:val="auto"/>
          <w:sz w:val="24"/>
          <w:szCs w:val="24"/>
        </w:rPr>
        <w:t>e</w:t>
      </w:r>
      <w:r w:rsidRPr="004F2D2E">
        <w:rPr>
          <w:rFonts w:ascii="Book Antiqua" w:hAnsi="Book Antiqua"/>
          <w:color w:val="auto"/>
          <w:sz w:val="24"/>
          <w:szCs w:val="24"/>
        </w:rPr>
        <w:t xml:space="preserve">sistance helps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todevelop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the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genotypes with MYMV resistance. In this study,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tra</w:t>
      </w:r>
      <w:r w:rsidRPr="004F2D2E">
        <w:rPr>
          <w:rFonts w:ascii="Book Antiqua" w:hAnsi="Book Antiqua"/>
          <w:color w:val="auto"/>
          <w:sz w:val="24"/>
          <w:szCs w:val="24"/>
        </w:rPr>
        <w:t>n</w:t>
      </w:r>
      <w:r w:rsidRPr="004F2D2E">
        <w:rPr>
          <w:rFonts w:ascii="Book Antiqua" w:hAnsi="Book Antiqua"/>
          <w:color w:val="auto"/>
          <w:sz w:val="24"/>
          <w:szCs w:val="24"/>
        </w:rPr>
        <w:t>scriptomes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of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genotypes, VGGRU-1 (resistant) and VRM (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Gg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>) 1 (susceptible) infected with MYMV were compared to those of uninfected controls. The number of differentially e</w:t>
      </w:r>
      <w:r w:rsidRPr="004F2D2E">
        <w:rPr>
          <w:rFonts w:ascii="Book Antiqua" w:hAnsi="Book Antiqua"/>
          <w:color w:val="auto"/>
          <w:sz w:val="24"/>
          <w:szCs w:val="24"/>
        </w:rPr>
        <w:t>x</w:t>
      </w:r>
      <w:r w:rsidRPr="004F2D2E">
        <w:rPr>
          <w:rFonts w:ascii="Book Antiqua" w:hAnsi="Book Antiqua"/>
          <w:color w:val="auto"/>
          <w:sz w:val="24"/>
          <w:szCs w:val="24"/>
        </w:rPr>
        <w:t>pressed genes (DEGs) in the resistant and susceptible genotypes was</w:t>
      </w:r>
      <w:r w:rsidRPr="004F2D2E">
        <w:rPr>
          <w:rFonts w:ascii="Book Antiqua" w:eastAsia="AdvOT1ef757c0" w:hAnsi="Book Antiqua"/>
          <w:color w:val="auto"/>
          <w:sz w:val="24"/>
          <w:szCs w:val="24"/>
          <w:lang w:val="en-IN"/>
        </w:rPr>
        <w:t xml:space="preserve"> 896 and 506, respectively. Among them, 275 DEGs were </w:t>
      </w:r>
      <w:proofErr w:type="spellStart"/>
      <w:r w:rsidRPr="004F2D2E">
        <w:rPr>
          <w:rFonts w:ascii="Book Antiqua" w:eastAsia="AdvOT1ef757c0" w:hAnsi="Book Antiqua"/>
          <w:color w:val="auto"/>
          <w:sz w:val="24"/>
          <w:szCs w:val="24"/>
          <w:lang w:val="en-IN"/>
        </w:rPr>
        <w:t>commonbetween</w:t>
      </w:r>
      <w:proofErr w:type="spellEnd"/>
      <w:r w:rsidRPr="004F2D2E">
        <w:rPr>
          <w:rFonts w:ascii="Book Antiqua" w:eastAsia="AdvOT1ef757c0" w:hAnsi="Book Antiqua"/>
          <w:color w:val="auto"/>
          <w:sz w:val="24"/>
          <w:szCs w:val="24"/>
          <w:lang w:val="en-IN"/>
        </w:rPr>
        <w:t xml:space="preserve"> </w:t>
      </w:r>
      <w:r w:rsidRPr="004F2D2E">
        <w:rPr>
          <w:rFonts w:ascii="Book Antiqua" w:hAnsi="Book Antiqua"/>
          <w:color w:val="auto"/>
          <w:sz w:val="24"/>
          <w:szCs w:val="24"/>
        </w:rPr>
        <w:t xml:space="preserve">the resistant and susceptible genotypes. Functional annotation of DEGs revealed that the DEGs belonged to the following categories 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>d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efense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and p</w:t>
      </w:r>
      <w:r w:rsidRPr="004F2D2E">
        <w:rPr>
          <w:rFonts w:ascii="Book Antiqua" w:hAnsi="Book Antiqua"/>
          <w:color w:val="auto"/>
          <w:sz w:val="24"/>
          <w:szCs w:val="24"/>
        </w:rPr>
        <w:t>a</w:t>
      </w:r>
      <w:r w:rsidRPr="004F2D2E">
        <w:rPr>
          <w:rFonts w:ascii="Book Antiqua" w:hAnsi="Book Antiqua"/>
          <w:color w:val="auto"/>
          <w:sz w:val="24"/>
          <w:szCs w:val="24"/>
        </w:rPr>
        <w:t xml:space="preserve">thogenesis, 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>r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eceptor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-like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kinases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>; serine/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threonine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protein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kinases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>,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 xml:space="preserve"> h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ormone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signaling, 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>transcri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>p</w:t>
      </w:r>
      <w:r w:rsidRPr="004F2D2E">
        <w:rPr>
          <w:rFonts w:ascii="Book Antiqua" w:hAnsi="Book Antiqua"/>
          <w:color w:val="auto"/>
          <w:sz w:val="24"/>
          <w:szCs w:val="24"/>
          <w:lang w:val="en-IN"/>
        </w:rPr>
        <w:t xml:space="preserve">tion factors, and chaperons, and </w:t>
      </w:r>
      <w:r w:rsidRPr="004F2D2E">
        <w:rPr>
          <w:rFonts w:ascii="Book Antiqua" w:hAnsi="Book Antiqua"/>
          <w:color w:val="auto"/>
          <w:sz w:val="24"/>
          <w:szCs w:val="24"/>
        </w:rPr>
        <w:t xml:space="preserve">secondary metabolites. Further, we have confirmed the expression pattern of several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DEGsbyquantitative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real-time PCR (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qRT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-PCR) </w:t>
      </w:r>
      <w:proofErr w:type="gramStart"/>
      <w:r w:rsidRPr="004F2D2E">
        <w:rPr>
          <w:rFonts w:ascii="Book Antiqua" w:hAnsi="Book Antiqua"/>
          <w:color w:val="auto"/>
          <w:sz w:val="24"/>
          <w:szCs w:val="24"/>
        </w:rPr>
        <w:t>analysis</w:t>
      </w:r>
      <w:proofErr w:type="gramEnd"/>
      <w:r w:rsidRPr="004F2D2E">
        <w:rPr>
          <w:rFonts w:ascii="Book Antiqua" w:hAnsi="Book Antiqua"/>
          <w:color w:val="auto"/>
          <w:sz w:val="24"/>
          <w:szCs w:val="24"/>
        </w:rPr>
        <w:t>. Collectively, the info</w:t>
      </w:r>
      <w:r w:rsidRPr="004F2D2E">
        <w:rPr>
          <w:rFonts w:ascii="Book Antiqua" w:hAnsi="Book Antiqua"/>
          <w:color w:val="auto"/>
          <w:sz w:val="24"/>
          <w:szCs w:val="24"/>
        </w:rPr>
        <w:t>r</w:t>
      </w:r>
      <w:r w:rsidRPr="004F2D2E">
        <w:rPr>
          <w:rFonts w:ascii="Book Antiqua" w:hAnsi="Book Antiqua"/>
          <w:color w:val="auto"/>
          <w:sz w:val="24"/>
          <w:szCs w:val="24"/>
        </w:rPr>
        <w:t xml:space="preserve">mation obtained in this study unveils the new insights into characterizing the MYMV resistance and paved the way for breeding MYMV resistant </w:t>
      </w:r>
      <w:proofErr w:type="spellStart"/>
      <w:r w:rsidRPr="004F2D2E">
        <w:rPr>
          <w:rFonts w:ascii="Book Antiqua" w:hAnsi="Book Antiqua"/>
          <w:color w:val="auto"/>
          <w:sz w:val="24"/>
          <w:szCs w:val="24"/>
        </w:rPr>
        <w:t>mungbean</w:t>
      </w:r>
      <w:proofErr w:type="spellEnd"/>
      <w:r w:rsidRPr="004F2D2E">
        <w:rPr>
          <w:rFonts w:ascii="Book Antiqua" w:hAnsi="Book Antiqua"/>
          <w:color w:val="auto"/>
          <w:sz w:val="24"/>
          <w:szCs w:val="24"/>
        </w:rPr>
        <w:t xml:space="preserve"> in the future.</w:t>
      </w:r>
    </w:p>
    <w:p w:rsidR="00D737A7" w:rsidRPr="004F2D2E" w:rsidRDefault="00D737A7"/>
    <w:sectPr w:rsidR="00D737A7" w:rsidRPr="004F2D2E" w:rsidSect="004F2D2E">
      <w:pgSz w:w="12240" w:h="15840"/>
      <w:pgMar w:top="144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dvOT1ef757c0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4F2D2E"/>
    <w:rsid w:val="004F2D2E"/>
    <w:rsid w:val="00D73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7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7abstract">
    <w:name w:val="MDPI_1.7_abstract"/>
    <w:next w:val="Normal"/>
    <w:qFormat/>
    <w:rsid w:val="004F2D2E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6affiliation">
    <w:name w:val="MDPI_1.6_affiliation"/>
    <w:qFormat/>
    <w:rsid w:val="004F2D2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1681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Dr.Sudha</dc:creator>
  <cp:lastModifiedBy>Dr.Sudha</cp:lastModifiedBy>
  <cp:revision>1</cp:revision>
  <dcterms:created xsi:type="dcterms:W3CDTF">2022-12-31T10:15:00Z</dcterms:created>
  <dcterms:modified xsi:type="dcterms:W3CDTF">2022-12-31T10:20:00Z</dcterms:modified>
</cp:coreProperties>
</file>