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hint="eastAsia" w:ascii="Times New Roman" w:hAnsi="Times New Roman" w:eastAsia="Tw Cen MT" w:cs="Times New Roman"/>
          <w:b/>
          <w:sz w:val="24"/>
          <w:szCs w:val="24"/>
          <w:lang w:val="en-US"/>
        </w:rPr>
      </w:pPr>
      <w:r>
        <w:rPr>
          <w:rFonts w:ascii="Times New Roman" w:hAnsi="Times New Roman" w:eastAsia="Tw Cen MT" w:cs="Times New Roman"/>
          <w:b/>
          <w:sz w:val="24"/>
          <w:szCs w:val="24"/>
          <w:lang w:val="en-US"/>
        </w:rPr>
        <w:t xml:space="preserve">Title: </w:t>
      </w:r>
      <w:r>
        <w:rPr>
          <w:rFonts w:hint="eastAsia" w:ascii="Times New Roman" w:hAnsi="Times New Roman" w:eastAsia="Tw Cen MT" w:cs="Times New Roman"/>
          <w:b/>
          <w:sz w:val="24"/>
          <w:szCs w:val="24"/>
          <w:lang w:val="en-US"/>
        </w:rPr>
        <w:t xml:space="preserve">A Comprehensive </w:t>
      </w:r>
      <w:r>
        <w:rPr>
          <w:rFonts w:hint="eastAsia" w:ascii="Times New Roman" w:hAnsi="Times New Roman" w:eastAsia="宋体" w:cs="Times New Roman"/>
          <w:b/>
          <w:sz w:val="24"/>
          <w:szCs w:val="24"/>
          <w:lang w:val="en-US" w:eastAsia="zh-CN"/>
        </w:rPr>
        <w:t>Evaluation</w:t>
      </w:r>
      <w:r>
        <w:rPr>
          <w:rFonts w:hint="eastAsia" w:ascii="Times New Roman" w:hAnsi="Times New Roman" w:eastAsia="Tw Cen MT" w:cs="Times New Roman"/>
          <w:b/>
          <w:sz w:val="24"/>
          <w:szCs w:val="24"/>
          <w:lang w:val="en-US"/>
        </w:rPr>
        <w:t xml:space="preserve"> Analysis of Different Colors of</w:t>
      </w:r>
    </w:p>
    <w:p>
      <w:pPr>
        <w:spacing w:after="0" w:line="240" w:lineRule="auto"/>
        <w:jc w:val="center"/>
        <w:rPr>
          <w:rFonts w:ascii="Times New Roman" w:hAnsi="Times New Roman" w:eastAsia="Tw Cen MT" w:cs="Times New Roman"/>
          <w:b/>
          <w:sz w:val="24"/>
          <w:szCs w:val="24"/>
          <w:lang w:val="en-US"/>
        </w:rPr>
      </w:pPr>
      <w:r>
        <w:rPr>
          <w:rFonts w:hint="eastAsia" w:ascii="Times New Roman" w:hAnsi="Times New Roman" w:eastAsia="Tw Cen MT" w:cs="Times New Roman"/>
          <w:b/>
          <w:sz w:val="24"/>
          <w:szCs w:val="24"/>
          <w:lang w:val="en-US"/>
        </w:rPr>
        <w:t>Medicinal and Edible Honeysuckle</w:t>
      </w:r>
    </w:p>
    <w:p>
      <w:pPr>
        <w:spacing w:after="0" w:line="240" w:lineRule="auto"/>
        <w:rPr>
          <w:rFonts w:ascii="Times New Roman" w:hAnsi="Times New Roman" w:eastAsia="Tw Cen MT" w:cs="Times New Roman"/>
          <w:b/>
          <w:sz w:val="24"/>
          <w:szCs w:val="24"/>
          <w:lang w:val="en-US"/>
        </w:rPr>
      </w:pPr>
    </w:p>
    <w:p>
      <w:pPr>
        <w:spacing w:after="0" w:line="240" w:lineRule="auto"/>
        <w:jc w:val="center"/>
        <w:rPr>
          <w:rFonts w:hint="default" w:ascii="Times New Roman" w:hAnsi="Times New Roman" w:eastAsia="Tw Cen MT" w:cs="Times New Roman"/>
          <w:sz w:val="24"/>
          <w:szCs w:val="24"/>
          <w:vertAlign w:val="superscript"/>
          <w:lang w:val="en-US"/>
        </w:rPr>
      </w:pPr>
      <w:r>
        <w:rPr>
          <w:rFonts w:hint="eastAsia" w:ascii="Times New Roman" w:hAnsi="Times New Roman" w:eastAsia="宋体" w:cs="Times New Roman"/>
          <w:sz w:val="24"/>
          <w:szCs w:val="24"/>
          <w:lang w:val="en-US" w:eastAsia="zh-CN"/>
        </w:rPr>
        <w:t>Zhenying Liu</w:t>
      </w:r>
    </w:p>
    <w:p>
      <w:pPr>
        <w:spacing w:after="0" w:line="240" w:lineRule="auto"/>
        <w:jc w:val="center"/>
        <w:rPr>
          <w:rFonts w:ascii="Times New Roman" w:hAnsi="Times New Roman" w:eastAsia="Tw Cen MT" w:cs="Times New Roman"/>
          <w:i/>
          <w:sz w:val="24"/>
          <w:szCs w:val="24"/>
          <w:lang w:val="en-US"/>
        </w:rPr>
      </w:pPr>
    </w:p>
    <w:p>
      <w:pPr>
        <w:spacing w:after="0" w:line="240" w:lineRule="auto"/>
        <w:rPr>
          <w:rFonts w:hint="eastAsia" w:ascii="Times New Roman" w:hAnsi="Times New Roman" w:eastAsia="Calibri" w:cs="Times New Roman"/>
          <w:i/>
          <w:sz w:val="24"/>
          <w:szCs w:val="24"/>
          <w:lang w:val="en-US"/>
        </w:rPr>
      </w:pPr>
      <w:r>
        <w:rPr>
          <w:rFonts w:hint="eastAsia" w:ascii="Times New Roman" w:hAnsi="Times New Roman" w:eastAsia="Calibri" w:cs="Times New Roman"/>
          <w:i/>
          <w:sz w:val="24"/>
          <w:szCs w:val="24"/>
          <w:lang w:val="en-US"/>
        </w:rPr>
        <w:t>Institute of Chinese Materia Medica, China Academy of Chinese Medical Sciences, 100700 Beijing China</w:t>
      </w:r>
    </w:p>
    <w:p>
      <w:pPr>
        <w:spacing w:after="0" w:line="240" w:lineRule="auto"/>
        <w:rPr>
          <w:rFonts w:ascii="Times New Roman" w:hAnsi="Times New Roman" w:eastAsia="Calibri" w:cs="Times New Roman"/>
          <w:sz w:val="24"/>
          <w:szCs w:val="24"/>
          <w:lang w:val="en-US"/>
        </w:rPr>
      </w:pPr>
    </w:p>
    <w:p>
      <w:pPr>
        <w:spacing w:after="0" w:line="240" w:lineRule="auto"/>
        <w:rPr>
          <w:rFonts w:ascii="Times New Roman" w:hAnsi="Times New Roman" w:eastAsia="Calibri" w:cs="Times New Roman"/>
          <w:b/>
          <w:color w:val="E46C0A" w:themeColor="accent6" w:themeShade="BF"/>
          <w:sz w:val="24"/>
          <w:szCs w:val="24"/>
          <w:lang w:val="en-US"/>
        </w:rPr>
      </w:pPr>
      <w:r>
        <w:rPr>
          <w:rFonts w:ascii="Times New Roman" w:hAnsi="Times New Roman" w:eastAsia="Calibri" w:cs="Times New Roman"/>
          <w:b/>
          <w:color w:val="E46C0A" w:themeColor="accent6" w:themeShade="BF"/>
          <w:sz w:val="24"/>
          <w:szCs w:val="24"/>
          <w:lang w:val="en-US"/>
        </w:rPr>
        <w:t>Abstract</w:t>
      </w:r>
    </w:p>
    <w:p>
      <w:pPr>
        <w:spacing w:after="0" w:line="240" w:lineRule="auto"/>
        <w:rPr>
          <w:rFonts w:ascii="Times New Roman" w:hAnsi="Times New Roman" w:eastAsia="Calibri" w:cs="Times New Roman"/>
          <w:sz w:val="24"/>
          <w:szCs w:val="24"/>
          <w:lang w:val="en-US"/>
        </w:rPr>
        <w:sectPr>
          <w:pgSz w:w="11906" w:h="16838"/>
          <w:pgMar w:top="993" w:right="991" w:bottom="1440" w:left="993" w:header="708" w:footer="708" w:gutter="0"/>
          <w:cols w:space="708" w:num="1"/>
          <w:docGrid w:linePitch="360" w:charSpace="0"/>
        </w:sectPr>
      </w:pP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ascii="Times New Roman" w:hAnsi="Times New Roman" w:eastAsia="Calibri" w:cs="Times New Roman"/>
          <w:sz w:val="24"/>
          <w:szCs w:val="24"/>
          <w:lang w:val="en-US"/>
        </w:rPr>
      </w:pPr>
      <w:r>
        <w:rPr>
          <w:rFonts w:hint="eastAsia" w:ascii="Times New Roman" w:hAnsi="Times New Roman" w:eastAsia="Calibri" w:cs="Times New Roman"/>
          <w:sz w:val="24"/>
          <w:szCs w:val="24"/>
          <w:lang w:val="en-US"/>
        </w:rPr>
        <w:t xml:space="preserve">Honeysuckle (the dried flower bud or opening flower of </w:t>
      </w:r>
      <w:r>
        <w:rPr>
          <w:rFonts w:hint="eastAsia" w:ascii="Times New Roman" w:hAnsi="Times New Roman" w:eastAsia="Calibri" w:cs="Times New Roman"/>
          <w:i/>
          <w:iCs/>
          <w:sz w:val="24"/>
          <w:szCs w:val="24"/>
          <w:lang w:val="en-US"/>
        </w:rPr>
        <w:t>Lonicera japonica</w:t>
      </w:r>
      <w:r>
        <w:rPr>
          <w:rFonts w:hint="eastAsia" w:ascii="Times New Roman" w:hAnsi="Times New Roman" w:eastAsia="Calibri" w:cs="Times New Roman"/>
          <w:sz w:val="24"/>
          <w:szCs w:val="24"/>
          <w:lang w:val="en-US"/>
        </w:rPr>
        <w:t xml:space="preserve"> Thunb.), a</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medicinal and edible substance, has is greatly popular among consumers for its remarkable health</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effects, such as antioxidant, antibacterial, and anti-inflammatory effects. However, due to the</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influences of processing methods, storage conditions, and other factors, honeysuckles show different</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colors which can directly reflect the quality and the price on the market.</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ascii="Times New Roman" w:hAnsi="Times New Roman" w:eastAsia="Calibri" w:cs="Times New Roman"/>
          <w:sz w:val="24"/>
          <w:szCs w:val="24"/>
          <w:lang w:val="en-US"/>
        </w:rPr>
      </w:pPr>
      <w:r>
        <w:rPr>
          <w:rFonts w:hint="eastAsia" w:ascii="Times New Roman" w:hAnsi="Times New Roman" w:eastAsia="Calibri" w:cs="Times New Roman"/>
          <w:sz w:val="24"/>
          <w:szCs w:val="24"/>
          <w:lang w:val="en-US"/>
        </w:rPr>
        <w:t>In order to comprehensively</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compare the quality of different colors, 55 batches of honeysuckle samples were collected and</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analyzed. Their color parameters, chlorophyll content (chl), total phenol content (TPC), total flavonoid</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content (TFC), antioxidant activity (AA), main active compounds, and metabolites were measured.</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ascii="Times New Roman" w:hAnsi="Times New Roman" w:eastAsia="Calibri" w:cs="Times New Roman"/>
          <w:sz w:val="24"/>
          <w:szCs w:val="24"/>
          <w:lang w:val="en-US"/>
        </w:rPr>
      </w:pPr>
      <w:r>
        <w:rPr>
          <w:rFonts w:hint="eastAsia" w:ascii="Times New Roman" w:hAnsi="Times New Roman" w:eastAsia="Calibri" w:cs="Times New Roman"/>
          <w:sz w:val="24"/>
          <w:szCs w:val="24"/>
          <w:lang w:val="en-US"/>
        </w:rPr>
        <w:t>As a result, the initial green-white (GW) samples, a kind of highest-quality honeysuckle, had the</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Times New Roman" w:hAnsi="Times New Roman" w:eastAsia="Calibri" w:cs="Times New Roman"/>
          <w:sz w:val="24"/>
          <w:szCs w:val="24"/>
          <w:lang w:val="en-US"/>
        </w:rPr>
      </w:pPr>
      <w:r>
        <w:rPr>
          <w:rFonts w:hint="eastAsia" w:ascii="Times New Roman" w:hAnsi="Times New Roman" w:eastAsia="Calibri" w:cs="Times New Roman"/>
          <w:sz w:val="24"/>
          <w:szCs w:val="24"/>
          <w:lang w:val="en-US"/>
        </w:rPr>
        <w:t xml:space="preserve">smallest </w:t>
      </w:r>
      <w:r>
        <w:rPr>
          <w:rFonts w:hint="eastAsia" w:ascii="Times New Roman" w:hAnsi="Times New Roman" w:eastAsia="Calibri" w:cs="Times New Roman"/>
          <w:i/>
          <w:iCs/>
          <w:sz w:val="24"/>
          <w:szCs w:val="24"/>
          <w:lang w:val="en-US"/>
        </w:rPr>
        <w:t>a</w:t>
      </w:r>
      <w:r>
        <w:rPr>
          <w:rFonts w:hint="eastAsia" w:ascii="Times New Roman" w:hAnsi="Times New Roman" w:eastAsia="Calibri" w:cs="Times New Roman"/>
          <w:sz w:val="24"/>
          <w:szCs w:val="24"/>
          <w:vertAlign w:val="superscript"/>
          <w:lang w:val="en-US"/>
        </w:rPr>
        <w:t>*</w:t>
      </w:r>
      <w:r>
        <w:rPr>
          <w:rFonts w:hint="eastAsia" w:ascii="Times New Roman" w:hAnsi="Times New Roman" w:eastAsia="Calibri" w:cs="Times New Roman"/>
          <w:sz w:val="24"/>
          <w:szCs w:val="24"/>
          <w:lang w:val="en-US"/>
        </w:rPr>
        <w:t xml:space="preserve"> value, largest </w:t>
      </w:r>
      <w:r>
        <w:rPr>
          <w:rFonts w:hint="eastAsia" w:ascii="Times New Roman" w:hAnsi="Times New Roman" w:eastAsia="Calibri" w:cs="Times New Roman"/>
          <w:i/>
          <w:iCs/>
          <w:sz w:val="24"/>
          <w:szCs w:val="24"/>
          <w:lang w:val="en-US"/>
        </w:rPr>
        <w:t>h</w:t>
      </w:r>
      <w:r>
        <w:rPr>
          <w:rFonts w:hint="eastAsia" w:ascii="Times New Roman" w:hAnsi="Times New Roman" w:eastAsia="Calibri" w:cs="Times New Roman"/>
          <w:sz w:val="24"/>
          <w:szCs w:val="24"/>
          <w:vertAlign w:val="superscript"/>
          <w:lang w:val="en-US"/>
        </w:rPr>
        <w:t>*</w:t>
      </w:r>
      <w:r>
        <w:rPr>
          <w:rFonts w:hint="eastAsia" w:ascii="Times New Roman" w:hAnsi="Times New Roman" w:eastAsia="Calibri" w:cs="Times New Roman"/>
          <w:sz w:val="24"/>
          <w:szCs w:val="24"/>
          <w:lang w:val="en-US"/>
        </w:rPr>
        <w:t>, chl, TPC, TFC, and AA values, and highest content of chlorogenic acid</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and cynaroside. There was a significant difference between GW samples and a series of discolored</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samples. As the color darkened or lightened, the quality gradually decreased. The yellow-brown (YB)</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samples were of the worst quality and were no longer available for clinical and health purposes. A</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series of differential metabolites, such as quercetin-7-</w:t>
      </w:r>
      <w:r>
        <w:rPr>
          <w:rFonts w:hint="eastAsia" w:ascii="Times New Roman" w:hAnsi="Times New Roman" w:eastAsia="Calibri" w:cs="Times New Roman"/>
          <w:i/>
          <w:iCs/>
          <w:sz w:val="24"/>
          <w:szCs w:val="24"/>
          <w:lang w:val="en-US"/>
        </w:rPr>
        <w:t>O</w:t>
      </w:r>
      <w:r>
        <w:rPr>
          <w:rFonts w:hint="eastAsia" w:ascii="Times New Roman" w:hAnsi="Times New Roman" w:eastAsia="Calibri" w:cs="Times New Roman"/>
          <w:sz w:val="24"/>
          <w:szCs w:val="24"/>
          <w:lang w:val="en-US"/>
        </w:rPr>
        <w:t>-glucoside and secologanoside, could be used</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as important references to evaluate the quality of differently colored samples. The metabolic profile of</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honeysuckle provided new insights into the process of color change and laid a foundation for further</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honeysuckle quality control. The correlation results showed that the a* and h* values significantly</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affect the abovementioned quality indicators and the 10 main active compounds. In other words, the</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color difference could directly reflect the quality and clinical efficacy. Multiple regression analysis</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 xml:space="preserve">was carried out using combined </w:t>
      </w:r>
      <w:r>
        <w:rPr>
          <w:rFonts w:hint="eastAsia" w:ascii="Times New Roman" w:hAnsi="Times New Roman" w:eastAsia="Calibri" w:cs="Times New Roman"/>
          <w:i/>
          <w:iCs/>
          <w:sz w:val="24"/>
          <w:szCs w:val="24"/>
          <w:lang w:val="en-US"/>
        </w:rPr>
        <w:t>L</w:t>
      </w:r>
      <w:r>
        <w:rPr>
          <w:rFonts w:hint="eastAsia" w:ascii="Times New Roman" w:hAnsi="Times New Roman" w:eastAsia="Calibri" w:cs="Times New Roman"/>
          <w:sz w:val="24"/>
          <w:szCs w:val="24"/>
          <w:vertAlign w:val="superscript"/>
          <w:lang w:val="en-US"/>
        </w:rPr>
        <w:t>*</w:t>
      </w:r>
      <w:r>
        <w:rPr>
          <w:rFonts w:hint="eastAsia" w:ascii="Times New Roman" w:hAnsi="Times New Roman" w:eastAsia="Calibri" w:cs="Times New Roman"/>
          <w:sz w:val="24"/>
          <w:szCs w:val="24"/>
          <w:lang w:val="en-US"/>
        </w:rPr>
        <w:t xml:space="preserve">, </w:t>
      </w:r>
      <w:r>
        <w:rPr>
          <w:rFonts w:hint="eastAsia" w:ascii="Times New Roman" w:hAnsi="Times New Roman" w:eastAsia="Calibri" w:cs="Times New Roman"/>
          <w:i/>
          <w:iCs/>
          <w:sz w:val="24"/>
          <w:szCs w:val="24"/>
          <w:lang w:val="en-US"/>
        </w:rPr>
        <w:t>a</w:t>
      </w:r>
      <w:r>
        <w:rPr>
          <w:rFonts w:hint="eastAsia" w:ascii="Times New Roman" w:hAnsi="Times New Roman" w:eastAsia="Calibri" w:cs="Times New Roman"/>
          <w:sz w:val="24"/>
          <w:szCs w:val="24"/>
          <w:vertAlign w:val="superscript"/>
          <w:lang w:val="en-US"/>
        </w:rPr>
        <w:t>*</w:t>
      </w:r>
      <w:r>
        <w:rPr>
          <w:rFonts w:hint="eastAsia" w:ascii="Times New Roman" w:hAnsi="Times New Roman" w:eastAsia="Calibri" w:cs="Times New Roman"/>
          <w:sz w:val="24"/>
          <w:szCs w:val="24"/>
          <w:lang w:val="en-US"/>
        </w:rPr>
        <w:t xml:space="preserve">, and </w:t>
      </w:r>
      <w:r>
        <w:rPr>
          <w:rFonts w:hint="eastAsia" w:ascii="Times New Roman" w:hAnsi="Times New Roman" w:eastAsia="Calibri" w:cs="Times New Roman"/>
          <w:i/>
          <w:iCs/>
          <w:sz w:val="24"/>
          <w:szCs w:val="24"/>
          <w:lang w:val="en-US"/>
        </w:rPr>
        <w:t>b</w:t>
      </w:r>
      <w:r>
        <w:rPr>
          <w:rFonts w:hint="eastAsia" w:ascii="Times New Roman" w:hAnsi="Times New Roman" w:eastAsia="Calibri" w:cs="Times New Roman"/>
          <w:sz w:val="24"/>
          <w:szCs w:val="24"/>
          <w:vertAlign w:val="superscript"/>
          <w:lang w:val="en-US"/>
        </w:rPr>
        <w:t>*</w:t>
      </w:r>
      <w:r>
        <w:rPr>
          <w:rFonts w:hint="eastAsia" w:ascii="Times New Roman" w:hAnsi="Times New Roman" w:eastAsia="Calibri" w:cs="Times New Roman"/>
          <w:sz w:val="24"/>
          <w:szCs w:val="24"/>
          <w:lang w:val="en-US"/>
        </w:rPr>
        <w:t xml:space="preserve"> values to predict the quality of honeysuckle. This is</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the first time the quality of different color honeysuckle samples on the post-harvest link has been</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systematically compared and a demonstration of medicinal and edible substances with different</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Calibri" w:cs="Times New Roman"/>
          <w:sz w:val="24"/>
          <w:szCs w:val="24"/>
          <w:lang w:val="en-US"/>
        </w:rPr>
        <w:t>colors has been provided.</w:t>
      </w:r>
    </w:p>
    <w:p>
      <w:pPr>
        <w:spacing w:after="0" w:line="240" w:lineRule="auto"/>
        <w:jc w:val="both"/>
        <w:rPr>
          <w:rFonts w:ascii="Times New Roman" w:hAnsi="Times New Roman" w:eastAsia="Calibri" w:cs="Times New Roman"/>
          <w:sz w:val="24"/>
          <w:szCs w:val="24"/>
          <w:lang w:val="en-US"/>
        </w:rPr>
      </w:pPr>
    </w:p>
    <w:p>
      <w:pPr>
        <w:spacing w:after="0" w:line="240" w:lineRule="auto"/>
        <w:rPr>
          <w:rFonts w:ascii="Times New Roman" w:hAnsi="Times New Roman" w:eastAsia="Calibri" w:cs="Times New Roman"/>
          <w:sz w:val="24"/>
          <w:szCs w:val="24"/>
          <w:lang w:val="en-US"/>
        </w:rPr>
        <w:sectPr>
          <w:type w:val="continuous"/>
          <w:pgSz w:w="11906" w:h="16838"/>
          <w:pgMar w:top="1440" w:right="991" w:bottom="1440" w:left="993" w:header="708" w:footer="708" w:gutter="0"/>
          <w:cols w:space="284" w:num="2"/>
          <w:docGrid w:linePitch="360" w:charSpace="0"/>
        </w:sectPr>
      </w:pPr>
    </w:p>
    <w:p>
      <w:pPr>
        <w:spacing w:after="0" w:line="240" w:lineRule="auto"/>
        <w:rPr>
          <w:rFonts w:ascii="Times New Roman" w:hAnsi="Times New Roman" w:eastAsia="Calibri" w:cs="Times New Roman"/>
          <w:sz w:val="24"/>
          <w:szCs w:val="24"/>
          <w:lang w:val="en-US"/>
        </w:rPr>
      </w:pPr>
    </w:p>
    <w:p>
      <w:pPr>
        <w:spacing w:after="0" w:line="240" w:lineRule="auto"/>
        <w:rPr>
          <w:rFonts w:ascii="Times New Roman" w:hAnsi="Times New Roman" w:eastAsia="Calibri" w:cs="Times New Roman"/>
          <w:b/>
          <w:color w:val="E46C0A" w:themeColor="accent6" w:themeShade="BF"/>
          <w:sz w:val="24"/>
          <w:szCs w:val="24"/>
          <w:lang w:val="en-US"/>
        </w:rPr>
      </w:pPr>
      <w:r>
        <w:rPr>
          <w:rFonts w:ascii="Times New Roman" w:hAnsi="Times New Roman" w:eastAsia="Calibri" w:cs="Times New Roman"/>
          <w:b/>
          <w:color w:val="E46C0A" w:themeColor="accent6" w:themeShade="BF"/>
          <w:sz w:val="24"/>
          <w:szCs w:val="24"/>
          <w:lang w:val="en-US"/>
        </w:rPr>
        <w:t>References</w:t>
      </w:r>
    </w:p>
    <w:p>
      <w:pPr>
        <w:pStyle w:val="6"/>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403" w:hanging="363"/>
        <w:textAlignment w:val="auto"/>
        <w:rPr>
          <w:rFonts w:ascii="Times New Roman" w:hAnsi="Times New Roman" w:eastAsia="Times New Roman" w:cs="Times New Roman"/>
          <w:sz w:val="24"/>
          <w:szCs w:val="24"/>
        </w:rPr>
      </w:pPr>
      <w:r>
        <w:rPr>
          <w:rFonts w:hint="eastAsia" w:ascii="Times New Roman" w:hAnsi="Times New Roman" w:eastAsia="Times New Roman" w:cs="Times New Roman"/>
          <w:sz w:val="24"/>
          <w:szCs w:val="24"/>
        </w:rPr>
        <w:t xml:space="preserve">Pharmacopoeia of the People’s Republic of China. </w:t>
      </w:r>
      <w:r>
        <w:rPr>
          <w:rFonts w:hint="eastAsia" w:ascii="Times New Roman" w:hAnsi="Times New Roman" w:eastAsia="Times New Roman" w:cs="Times New Roman"/>
          <w:i/>
          <w:iCs/>
          <w:sz w:val="24"/>
          <w:szCs w:val="24"/>
        </w:rPr>
        <w:t>Pharmacopoeia of the People’s Republic of China</w:t>
      </w:r>
      <w:r>
        <w:rPr>
          <w:rFonts w:hint="eastAsia" w:ascii="Times New Roman" w:hAnsi="Times New Roman" w:eastAsia="Times New Roman" w:cs="Times New Roman"/>
          <w:sz w:val="24"/>
          <w:szCs w:val="24"/>
        </w:rPr>
        <w:t xml:space="preserve"> (</w:t>
      </w:r>
      <w:r>
        <w:rPr>
          <w:rFonts w:hint="eastAsia" w:ascii="Times New Roman" w:hAnsi="Times New Roman" w:eastAsia="Times New Roman" w:cs="Times New Roman"/>
          <w:i/>
          <w:iCs/>
          <w:sz w:val="24"/>
          <w:szCs w:val="24"/>
        </w:rPr>
        <w:t>Part 1</w:t>
      </w:r>
      <w:r>
        <w:rPr>
          <w:rFonts w:hint="eastAsia" w:ascii="Times New Roman" w:hAnsi="Times New Roman" w:eastAsia="Times New Roman" w:cs="Times New Roman"/>
          <w:sz w:val="24"/>
          <w:szCs w:val="24"/>
        </w:rPr>
        <w:t>); China Medical Science</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Times New Roman" w:cs="Times New Roman"/>
          <w:sz w:val="24"/>
          <w:szCs w:val="24"/>
        </w:rPr>
        <w:t>and Technology Press: Beijing, China, 2020; pp. 230–232.</w:t>
      </w:r>
    </w:p>
    <w:p>
      <w:pPr>
        <w:pStyle w:val="6"/>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403" w:hanging="363"/>
        <w:textAlignment w:val="auto"/>
        <w:rPr>
          <w:rFonts w:ascii="Times New Roman" w:hAnsi="Times New Roman" w:eastAsia="Times New Roman" w:cs="Times New Roman"/>
          <w:sz w:val="24"/>
          <w:szCs w:val="24"/>
        </w:rPr>
      </w:pPr>
      <w:r>
        <w:rPr>
          <w:rFonts w:hint="eastAsia" w:ascii="Times New Roman" w:hAnsi="Times New Roman" w:eastAsia="Times New Roman" w:cs="Times New Roman"/>
          <w:sz w:val="24"/>
          <w:szCs w:val="24"/>
        </w:rPr>
        <w:t>Wang, Z.; Clifford, M.N.; Sharp, P. Analysis of chlorogenic acids in beverages prepared from Chinese health foods and investiga</w:t>
      </w:r>
      <w:r>
        <w:rPr>
          <w:rFonts w:hint="eastAsia" w:ascii="Times New Roman" w:hAnsi="Times New Roman" w:eastAsia="Times New Roman" w:cs="Times New Roman"/>
          <w:sz w:val="24"/>
          <w:szCs w:val="24"/>
        </w:rPr>
        <w:t/>
      </w:r>
      <w:r>
        <w:rPr>
          <w:rFonts w:hint="eastAsia" w:ascii="Times New Roman" w:hAnsi="Times New Roman" w:eastAsia="Times New Roman" w:cs="Times New Roman"/>
          <w:sz w:val="24"/>
          <w:szCs w:val="24"/>
        </w:rPr>
        <w:t xml:space="preserve">tion, in vitro, of effects on glucose absorption in cultured Caco-2 cells. </w:t>
      </w:r>
      <w:r>
        <w:rPr>
          <w:rFonts w:hint="eastAsia" w:ascii="Times New Roman" w:hAnsi="Times New Roman" w:eastAsia="Times New Roman" w:cs="Times New Roman"/>
          <w:i/>
          <w:iCs/>
          <w:sz w:val="24"/>
          <w:szCs w:val="24"/>
        </w:rPr>
        <w:t>Food Chem</w:t>
      </w:r>
      <w:r>
        <w:rPr>
          <w:rFonts w:hint="eastAsia" w:ascii="Times New Roman" w:hAnsi="Times New Roman" w:eastAsia="Times New Roman" w:cs="Times New Roman"/>
          <w:sz w:val="24"/>
          <w:szCs w:val="24"/>
        </w:rPr>
        <w:t>. 2008, 108, 369–373.</w:t>
      </w:r>
      <w:r>
        <w:rPr>
          <w:rFonts w:ascii="Times New Roman" w:hAnsi="Times New Roman" w:eastAsia="Times New Roman" w:cs="Times New Roman"/>
          <w:sz w:val="24"/>
          <w:szCs w:val="24"/>
        </w:rPr>
        <w:t xml:space="preserve"> </w:t>
      </w:r>
    </w:p>
    <w:p>
      <w:pPr>
        <w:pStyle w:val="6"/>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403" w:hanging="363"/>
        <w:textAlignment w:val="auto"/>
        <w:rPr>
          <w:rFonts w:ascii="Times New Roman" w:hAnsi="Times New Roman" w:eastAsia="Times New Roman" w:cs="Times New Roman"/>
          <w:sz w:val="24"/>
          <w:szCs w:val="24"/>
        </w:rPr>
      </w:pPr>
      <w:r>
        <w:rPr>
          <w:rFonts w:hint="eastAsia" w:ascii="Times New Roman" w:hAnsi="Times New Roman" w:eastAsia="Times New Roman" w:cs="Times New Roman"/>
          <w:sz w:val="24"/>
          <w:szCs w:val="24"/>
        </w:rPr>
        <w:t xml:space="preserve">Mu, W.; Hu, N.; Zhang, L.; Jiang, W.; Yan, T.; Zhang, T.; Liu, A.; Zhang, Y.; Zhao, J.; Shi, L.; et al. </w:t>
      </w:r>
      <w:r>
        <w:rPr>
          <w:rFonts w:hint="eastAsia" w:ascii="Times New Roman" w:hAnsi="Times New Roman" w:eastAsia="Times New Roman" w:cs="Times New Roman"/>
          <w:i/>
          <w:iCs/>
          <w:sz w:val="24"/>
          <w:szCs w:val="24"/>
        </w:rPr>
        <w:t>Lonicerae japonicae</w:t>
      </w:r>
      <w:r>
        <w:rPr>
          <w:rFonts w:hint="eastAsia" w:ascii="Times New Roman" w:hAnsi="Times New Roman" w:eastAsia="Times New Roman" w:cs="Times New Roman"/>
          <w:sz w:val="24"/>
          <w:szCs w:val="24"/>
        </w:rPr>
        <w:t xml:space="preserve"> flos ameliorates</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Times New Roman" w:cs="Times New Roman"/>
          <w:sz w:val="24"/>
          <w:szCs w:val="24"/>
        </w:rPr>
        <w:t xml:space="preserve">radiotherapy-induced mesenteric artery endothelial dysfunction through GTPCH1/BH4/eNOS pathway. </w:t>
      </w:r>
      <w:r>
        <w:rPr>
          <w:rFonts w:hint="eastAsia" w:ascii="Times New Roman" w:hAnsi="Times New Roman" w:eastAsia="Times New Roman" w:cs="Times New Roman"/>
          <w:i/>
          <w:iCs/>
          <w:sz w:val="24"/>
          <w:szCs w:val="24"/>
        </w:rPr>
        <w:t>Phytomedicine</w:t>
      </w:r>
      <w:r>
        <w:rPr>
          <w:rFonts w:hint="eastAsia" w:ascii="Times New Roman" w:hAnsi="Times New Roman" w:eastAsia="Times New Roman" w:cs="Times New Roman"/>
          <w:sz w:val="24"/>
          <w:szCs w:val="24"/>
        </w:rPr>
        <w:t xml:space="preserve"> 2022,102, 154146.</w:t>
      </w:r>
    </w:p>
    <w:p>
      <w:pPr>
        <w:pStyle w:val="6"/>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403" w:hanging="363"/>
        <w:textAlignment w:val="auto"/>
        <w:rPr>
          <w:rFonts w:ascii="Times New Roman" w:hAnsi="Times New Roman" w:eastAsia="Times New Roman" w:cs="Times New Roman"/>
          <w:sz w:val="24"/>
          <w:szCs w:val="24"/>
        </w:rPr>
      </w:pPr>
      <w:r>
        <w:rPr>
          <w:rFonts w:hint="eastAsia" w:ascii="Times New Roman" w:hAnsi="Times New Roman" w:eastAsia="Times New Roman" w:cs="Times New Roman"/>
          <w:sz w:val="24"/>
          <w:szCs w:val="24"/>
        </w:rPr>
        <w:t xml:space="preserve">Shin, K.K.; Park, S.H.; Lim, H.Y.; Lorza, L.R.; Qomaladewia, N.P.; You, L.; Aziz, N.; Kim, S.A.; Lee, J.S.; Choung, E.S.; et al. </w:t>
      </w:r>
      <w:r>
        <w:rPr>
          <w:rFonts w:hint="eastAsia" w:ascii="Times New Roman" w:hAnsi="Times New Roman" w:eastAsia="Times New Roman" w:cs="Times New Roman"/>
          <w:i/>
          <w:iCs/>
          <w:sz w:val="24"/>
          <w:szCs w:val="24"/>
        </w:rPr>
        <w:t>In</w:t>
      </w:r>
      <w:r>
        <w:rPr>
          <w:rFonts w:hint="eastAsia" w:ascii="Times New Roman" w:hAnsi="Times New Roman" w:eastAsia="宋体" w:cs="Times New Roman"/>
          <w:i/>
          <w:iCs/>
          <w:sz w:val="24"/>
          <w:szCs w:val="24"/>
          <w:lang w:val="en-US" w:eastAsia="zh-CN"/>
        </w:rPr>
        <w:t xml:space="preserve"> v</w:t>
      </w:r>
      <w:r>
        <w:rPr>
          <w:rFonts w:hint="eastAsia" w:ascii="Times New Roman" w:hAnsi="Times New Roman" w:eastAsia="Times New Roman" w:cs="Times New Roman"/>
          <w:i/>
          <w:iCs/>
          <w:sz w:val="24"/>
          <w:szCs w:val="24"/>
        </w:rPr>
        <w:t>itro</w:t>
      </w:r>
      <w:r>
        <w:rPr>
          <w:rFonts w:hint="eastAsia" w:ascii="Times New Roman" w:hAnsi="Times New Roman" w:eastAsia="Times New Roman" w:cs="Times New Roman"/>
          <w:sz w:val="24"/>
          <w:szCs w:val="24"/>
        </w:rPr>
        <w:t xml:space="preserve"> anti-photoaging and skin protective effects of licania macrocarpa cuatrec methanol extract. </w:t>
      </w:r>
      <w:r>
        <w:rPr>
          <w:rFonts w:hint="eastAsia" w:ascii="Times New Roman" w:hAnsi="Times New Roman" w:eastAsia="Times New Roman" w:cs="Times New Roman"/>
          <w:i/>
          <w:iCs/>
          <w:sz w:val="24"/>
          <w:szCs w:val="24"/>
        </w:rPr>
        <w:t>Plants</w:t>
      </w:r>
      <w:r>
        <w:rPr>
          <w:rFonts w:hint="eastAsia" w:ascii="Times New Roman" w:hAnsi="Times New Roman" w:eastAsia="Times New Roman" w:cs="Times New Roman"/>
          <w:sz w:val="24"/>
          <w:szCs w:val="24"/>
        </w:rPr>
        <w:t xml:space="preserve"> 2022, 11, 1383.</w:t>
      </w:r>
    </w:p>
    <w:p>
      <w:pPr>
        <w:pStyle w:val="6"/>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403" w:hanging="363"/>
        <w:textAlignment w:val="auto"/>
        <w:rPr>
          <w:rFonts w:ascii="Times New Roman" w:hAnsi="Times New Roman" w:eastAsia="Times New Roman" w:cs="Times New Roman"/>
          <w:sz w:val="24"/>
          <w:szCs w:val="24"/>
        </w:rPr>
      </w:pPr>
      <w:r>
        <w:rPr>
          <w:rFonts w:hint="eastAsia" w:ascii="Times New Roman" w:hAnsi="Times New Roman" w:eastAsia="Times New Roman" w:cs="Times New Roman"/>
          <w:sz w:val="24"/>
          <w:szCs w:val="24"/>
        </w:rPr>
        <w:t>Wu, C.; Wang, H.; Liu, Z.; Xu, B.; Li, Z.; Song, P.; Chao, Z. Untargeted metabolomics coupled with chemometrics for leaves and</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Times New Roman" w:cs="Times New Roman"/>
          <w:sz w:val="24"/>
          <w:szCs w:val="24"/>
        </w:rPr>
        <w:t xml:space="preserve">stem barks of </w:t>
      </w:r>
      <w:r>
        <w:rPr>
          <w:rFonts w:hint="eastAsia" w:ascii="Times New Roman" w:hAnsi="Times New Roman" w:eastAsia="Times New Roman" w:cs="Times New Roman"/>
          <w:i/>
          <w:iCs/>
          <w:sz w:val="24"/>
          <w:szCs w:val="24"/>
        </w:rPr>
        <w:t>Dioecious morus</w:t>
      </w:r>
      <w:r>
        <w:rPr>
          <w:rFonts w:hint="eastAsia" w:ascii="Times New Roman" w:hAnsi="Times New Roman" w:eastAsia="Times New Roman" w:cs="Times New Roman"/>
          <w:sz w:val="24"/>
          <w:szCs w:val="24"/>
        </w:rPr>
        <w:t xml:space="preserve"> alba L. </w:t>
      </w:r>
      <w:r>
        <w:rPr>
          <w:rFonts w:hint="eastAsia" w:ascii="Times New Roman" w:hAnsi="Times New Roman" w:eastAsia="Times New Roman" w:cs="Times New Roman"/>
          <w:i/>
          <w:iCs/>
          <w:sz w:val="24"/>
          <w:szCs w:val="24"/>
        </w:rPr>
        <w:t>Metabolites</w:t>
      </w:r>
      <w:r>
        <w:rPr>
          <w:rFonts w:hint="eastAsia" w:ascii="Times New Roman" w:hAnsi="Times New Roman" w:eastAsia="Times New Roman" w:cs="Times New Roman"/>
          <w:sz w:val="24"/>
          <w:szCs w:val="24"/>
        </w:rPr>
        <w:t xml:space="preserve"> 2022, 12, 106.</w:t>
      </w:r>
    </w:p>
    <w:p>
      <w:pPr>
        <w:pStyle w:val="6"/>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403" w:hanging="363"/>
        <w:textAlignment w:val="auto"/>
        <w:rPr>
          <w:rFonts w:ascii="Times New Roman" w:hAnsi="Times New Roman" w:eastAsia="Times New Roman" w:cs="Times New Roman"/>
          <w:sz w:val="24"/>
          <w:szCs w:val="24"/>
        </w:rPr>
      </w:pPr>
      <w:r>
        <w:rPr>
          <w:rFonts w:hint="eastAsia" w:ascii="Times New Roman" w:hAnsi="Times New Roman" w:eastAsia="Times New Roman" w:cs="Times New Roman"/>
          <w:sz w:val="24"/>
          <w:szCs w:val="24"/>
        </w:rPr>
        <w:t>Zulfiqar, F.; Chen, J.; Younis, A.; Abideen, Z.; Naveed, M.; Koyro, H.; Siddique, K.H.M. Biochar, compost, and biochar-compost</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Times New Roman" w:cs="Times New Roman"/>
          <w:sz w:val="24"/>
          <w:szCs w:val="24"/>
        </w:rPr>
        <w:t>blend applications modulate growth, photosynthesis, osmolytes, and antioxidant system of medicinal plant Alpinia zerumbet.</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Times New Roman" w:cs="Times New Roman"/>
          <w:i/>
          <w:iCs/>
          <w:sz w:val="24"/>
          <w:szCs w:val="24"/>
        </w:rPr>
        <w:t>Front</w:t>
      </w:r>
      <w:r>
        <w:rPr>
          <w:rFonts w:hint="eastAsia" w:ascii="Times New Roman" w:hAnsi="Times New Roman" w:eastAsia="Times New Roman" w:cs="Times New Roman"/>
          <w:i w:val="0"/>
          <w:iCs w:val="0"/>
          <w:sz w:val="24"/>
          <w:szCs w:val="24"/>
        </w:rPr>
        <w:t>.</w:t>
      </w:r>
      <w:r>
        <w:rPr>
          <w:rFonts w:hint="eastAsia" w:ascii="Times New Roman" w:hAnsi="Times New Roman" w:eastAsia="Times New Roman" w:cs="Times New Roman"/>
          <w:i/>
          <w:iCs/>
          <w:sz w:val="24"/>
          <w:szCs w:val="24"/>
        </w:rPr>
        <w:t xml:space="preserve"> Plant Sci</w:t>
      </w:r>
      <w:r>
        <w:rPr>
          <w:rFonts w:hint="eastAsia" w:ascii="Times New Roman" w:hAnsi="Times New Roman" w:eastAsia="Times New Roman" w:cs="Times New Roman"/>
          <w:sz w:val="24"/>
          <w:szCs w:val="24"/>
        </w:rPr>
        <w:t>. 2021, 12, 707061.</w:t>
      </w:r>
    </w:p>
    <w:p>
      <w:pPr>
        <w:pStyle w:val="6"/>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403" w:hanging="363"/>
        <w:textAlignment w:val="auto"/>
        <w:rPr>
          <w:rFonts w:ascii="Times New Roman" w:hAnsi="Times New Roman" w:eastAsia="Times New Roman" w:cs="Times New Roman"/>
          <w:sz w:val="24"/>
          <w:szCs w:val="24"/>
        </w:rPr>
      </w:pPr>
      <w:r>
        <w:rPr>
          <w:rFonts w:hint="eastAsia" w:ascii="Times New Roman" w:hAnsi="Times New Roman" w:eastAsia="Times New Roman" w:cs="Times New Roman"/>
          <w:sz w:val="24"/>
          <w:szCs w:val="24"/>
        </w:rPr>
        <w:t>Chazaux, M.; Schiphorst, C.; Lazzari, G.; Caffarri, S. Precise estimation of chlorophyll a,b and carotenoid content by deconvolution</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Times New Roman" w:cs="Times New Roman"/>
          <w:sz w:val="24"/>
          <w:szCs w:val="24"/>
        </w:rPr>
        <w:t xml:space="preserve">of the absorption spectrum and new simultaneous equations for Chl determination. </w:t>
      </w:r>
      <w:r>
        <w:rPr>
          <w:rFonts w:hint="eastAsia" w:ascii="Times New Roman" w:hAnsi="Times New Roman" w:eastAsia="Times New Roman" w:cs="Times New Roman"/>
          <w:i/>
          <w:iCs/>
          <w:sz w:val="24"/>
          <w:szCs w:val="24"/>
        </w:rPr>
        <w:t>Plant J</w:t>
      </w:r>
      <w:r>
        <w:rPr>
          <w:rFonts w:hint="eastAsia" w:ascii="Times New Roman" w:hAnsi="Times New Roman" w:eastAsia="Times New Roman" w:cs="Times New Roman"/>
          <w:sz w:val="24"/>
          <w:szCs w:val="24"/>
        </w:rPr>
        <w:t>. 2022, 109, 1630–1648.</w:t>
      </w:r>
    </w:p>
    <w:p>
      <w:pPr>
        <w:pStyle w:val="6"/>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403" w:hanging="363"/>
        <w:textAlignment w:val="auto"/>
        <w:rPr>
          <w:rFonts w:ascii="Times New Roman" w:hAnsi="Times New Roman" w:eastAsia="Times New Roman" w:cs="Times New Roman"/>
          <w:sz w:val="24"/>
          <w:szCs w:val="24"/>
        </w:rPr>
      </w:pPr>
      <w:r>
        <w:rPr>
          <w:rFonts w:hint="eastAsia" w:ascii="Times New Roman" w:hAnsi="Times New Roman" w:eastAsia="Times New Roman" w:cs="Times New Roman"/>
          <w:sz w:val="24"/>
          <w:szCs w:val="24"/>
        </w:rPr>
        <w:t>Jiménez-González, O.; López-Malo, A.; González-Pérez, J.E.; Ramírez-Corona, N.; Guerrero-Beltrán, J.Á. Thermal and pH stability</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Times New Roman" w:cs="Times New Roman"/>
          <w:sz w:val="24"/>
          <w:szCs w:val="24"/>
        </w:rPr>
        <w:t xml:space="preserve">of </w:t>
      </w:r>
      <w:r>
        <w:rPr>
          <w:rFonts w:hint="eastAsia" w:ascii="Times New Roman" w:hAnsi="Times New Roman" w:eastAsia="Times New Roman" w:cs="Times New Roman"/>
          <w:i/>
          <w:iCs/>
          <w:sz w:val="24"/>
          <w:szCs w:val="24"/>
        </w:rPr>
        <w:t>Justicia spicigera</w:t>
      </w:r>
      <w:r>
        <w:rPr>
          <w:rFonts w:hint="eastAsia" w:ascii="Times New Roman" w:hAnsi="Times New Roman" w:eastAsia="Times New Roman" w:cs="Times New Roman"/>
          <w:sz w:val="24"/>
          <w:szCs w:val="24"/>
        </w:rPr>
        <w:t xml:space="preserve"> (</w:t>
      </w:r>
      <w:r>
        <w:rPr>
          <w:rFonts w:hint="eastAsia" w:ascii="Times New Roman" w:hAnsi="Times New Roman" w:eastAsia="Times New Roman" w:cs="Times New Roman"/>
          <w:i/>
          <w:iCs/>
          <w:sz w:val="24"/>
          <w:szCs w:val="24"/>
        </w:rPr>
        <w:t>Mexican honeysuckle</w:t>
      </w:r>
      <w:r>
        <w:rPr>
          <w:rFonts w:hint="eastAsia" w:ascii="Times New Roman" w:hAnsi="Times New Roman" w:eastAsia="Times New Roman" w:cs="Times New Roman"/>
          <w:sz w:val="24"/>
          <w:szCs w:val="24"/>
        </w:rPr>
        <w:t>) pigments: Application of mathematical probabilistic models to predict pigments stability.</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Times New Roman" w:cs="Times New Roman"/>
          <w:i/>
          <w:iCs/>
          <w:sz w:val="24"/>
          <w:szCs w:val="24"/>
        </w:rPr>
        <w:t>Food Chem</w:t>
      </w:r>
      <w:r>
        <w:rPr>
          <w:rFonts w:hint="eastAsia" w:ascii="Times New Roman" w:hAnsi="Times New Roman" w:eastAsia="Times New Roman" w:cs="Times New Roman"/>
          <w:sz w:val="24"/>
          <w:szCs w:val="24"/>
        </w:rPr>
        <w:t xml:space="preserve">. </w:t>
      </w:r>
      <w:r>
        <w:rPr>
          <w:rFonts w:hint="eastAsia" w:ascii="Times New Roman" w:hAnsi="Times New Roman" w:eastAsia="Times New Roman" w:cs="Times New Roman"/>
          <w:i/>
          <w:iCs/>
          <w:sz w:val="24"/>
          <w:szCs w:val="24"/>
        </w:rPr>
        <w:t>Mol</w:t>
      </w:r>
      <w:r>
        <w:rPr>
          <w:rFonts w:hint="eastAsia" w:ascii="Times New Roman" w:hAnsi="Times New Roman" w:eastAsia="Times New Roman" w:cs="Times New Roman"/>
          <w:sz w:val="24"/>
          <w:szCs w:val="24"/>
        </w:rPr>
        <w:t xml:space="preserve">. </w:t>
      </w:r>
      <w:r>
        <w:rPr>
          <w:rFonts w:hint="eastAsia" w:ascii="Times New Roman" w:hAnsi="Times New Roman" w:eastAsia="Times New Roman" w:cs="Times New Roman"/>
          <w:i/>
          <w:iCs/>
          <w:sz w:val="24"/>
          <w:szCs w:val="24"/>
        </w:rPr>
        <w:t>Sci</w:t>
      </w:r>
      <w:r>
        <w:rPr>
          <w:rFonts w:hint="eastAsia" w:ascii="Times New Roman" w:hAnsi="Times New Roman" w:eastAsia="Times New Roman" w:cs="Times New Roman"/>
          <w:sz w:val="24"/>
          <w:szCs w:val="24"/>
        </w:rPr>
        <w:t>. 2023, 6, 100158.</w:t>
      </w:r>
    </w:p>
    <w:p>
      <w:pPr>
        <w:autoSpaceDE w:val="0"/>
        <w:autoSpaceDN w:val="0"/>
        <w:adjustRightInd w:val="0"/>
        <w:spacing w:line="240" w:lineRule="auto"/>
        <w:jc w:val="center"/>
        <w:rPr>
          <w:rFonts w:ascii="Times New Roman" w:hAnsi="Times New Roman" w:eastAsia="Times New Roman" w:cs="Times New Roman"/>
          <w:sz w:val="24"/>
          <w:szCs w:val="24"/>
        </w:rPr>
      </w:pPr>
      <w:r>
        <w:rPr>
          <w:rFonts w:ascii="Calibri"/>
          <w:sz w:val="24"/>
          <w:szCs w:val="24"/>
          <w:lang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autoSpaceDE w:val="0"/>
        <w:autoSpaceDN w:val="0"/>
        <w:adjustRightInd w:val="0"/>
        <w:spacing w:line="240" w:lineRule="auto"/>
        <w:rPr>
          <w:sz w:val="24"/>
          <w:szCs w:val="24"/>
          <w:lang w:eastAsia="en-IN"/>
        </w:rPr>
      </w:pPr>
    </w:p>
    <w:p>
      <w:pPr>
        <w:autoSpaceDE w:val="0"/>
        <w:autoSpaceDN w:val="0"/>
        <w:adjustRightInd w:val="0"/>
        <w:spacing w:line="240" w:lineRule="auto"/>
        <w:rPr>
          <w:sz w:val="24"/>
          <w:szCs w:val="24"/>
          <w:lang w:eastAsia="en-IN"/>
        </w:rPr>
      </w:pPr>
    </w:p>
    <w:p>
      <w:pPr>
        <w:autoSpaceDE w:val="0"/>
        <w:autoSpaceDN w:val="0"/>
        <w:adjustRightInd w:val="0"/>
        <w:spacing w:line="240" w:lineRule="auto"/>
        <w:rPr>
          <w:sz w:val="24"/>
          <w:szCs w:val="24"/>
          <w:lang w:eastAsia="en-IN"/>
        </w:rPr>
      </w:pPr>
    </w:p>
    <w:p>
      <w:pPr>
        <w:autoSpaceDE w:val="0"/>
        <w:autoSpaceDN w:val="0"/>
        <w:adjustRightInd w:val="0"/>
        <w:spacing w:line="240" w:lineRule="auto"/>
        <w:rPr>
          <w:sz w:val="24"/>
          <w:szCs w:val="24"/>
          <w:lang w:eastAsia="en-IN"/>
        </w:rPr>
      </w:pPr>
    </w:p>
    <w:p>
      <w:pPr>
        <w:autoSpaceDE w:val="0"/>
        <w:autoSpaceDN w:val="0"/>
        <w:adjustRightInd w:val="0"/>
        <w:spacing w:line="240" w:lineRule="auto"/>
        <w:rPr>
          <w:sz w:val="24"/>
          <w:szCs w:val="24"/>
          <w:lang w:eastAsia="en-IN"/>
        </w:rPr>
      </w:pPr>
    </w:p>
    <w:p>
      <w:pPr>
        <w:autoSpaceDE w:val="0"/>
        <w:autoSpaceDN w:val="0"/>
        <w:adjustRightInd w:val="0"/>
        <w:spacing w:line="240" w:lineRule="auto"/>
        <w:rPr>
          <w:sz w:val="24"/>
          <w:szCs w:val="24"/>
          <w:lang w:eastAsia="en-IN"/>
        </w:rPr>
      </w:pPr>
    </w:p>
    <w:p>
      <w:pPr>
        <w:autoSpaceDE w:val="0"/>
        <w:autoSpaceDN w:val="0"/>
        <w:adjustRightInd w:val="0"/>
        <w:spacing w:line="240" w:lineRule="auto"/>
        <w:rPr>
          <w:sz w:val="24"/>
          <w:szCs w:val="24"/>
          <w:lang w:eastAsia="en-IN"/>
        </w:rPr>
      </w:pPr>
    </w:p>
    <w:p>
      <w:pPr>
        <w:autoSpaceDE w:val="0"/>
        <w:autoSpaceDN w:val="0"/>
        <w:adjustRightInd w:val="0"/>
        <w:spacing w:line="240" w:lineRule="auto"/>
        <w:rPr>
          <w:rFonts w:ascii="Times New Roman" w:hAnsi="Times New Roman" w:eastAsia="Times New Roman" w:cs="Times New Roman"/>
          <w:sz w:val="24"/>
          <w:szCs w:val="24"/>
        </w:rPr>
      </w:pPr>
      <w:r>
        <w:rPr>
          <w:sz w:val="24"/>
          <w:szCs w:val="24"/>
          <w:lang w:eastAsia="en-IN"/>
        </w:rPr>
        <w:drawing>
          <wp:inline distT="0" distB="0" distL="0" distR="0">
            <wp:extent cx="990600" cy="982345"/>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000110" cy="992175"/>
                    </a:xfrm>
                    <a:prstGeom prst="rect">
                      <a:avLst/>
                    </a:prstGeom>
                    <a:noFill/>
                    <a:ln>
                      <a:noFill/>
                    </a:ln>
                  </pic:spPr>
                </pic:pic>
              </a:graphicData>
            </a:graphic>
          </wp:inline>
        </w:drawing>
      </w:r>
    </w:p>
    <w:p>
      <w:pPr>
        <w:autoSpaceDE w:val="0"/>
        <w:autoSpaceDN w:val="0"/>
        <w:adjustRightInd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color w:val="E46C0A" w:themeColor="accent6" w:themeShade="BF"/>
          <w:sz w:val="24"/>
          <w:szCs w:val="24"/>
        </w:rPr>
        <w:t>Biography:</w:t>
      </w:r>
      <w:r>
        <w:rPr>
          <w:rFonts w:ascii="Times New Roman" w:hAnsi="Times New Roman" w:eastAsia="Times New Roman" w:cs="Times New Roman"/>
          <w:color w:val="E46C0A" w:themeColor="accent6" w:themeShade="BF"/>
          <w:sz w:val="24"/>
          <w:szCs w:val="24"/>
        </w:rPr>
        <w:t xml:space="preserve"> </w:t>
      </w:r>
      <w:r>
        <w:rPr>
          <w:rFonts w:ascii="Times New Roman" w:hAnsi="Times New Roman" w:eastAsia="Times New Roman" w:cs="Times New Roman"/>
          <w:sz w:val="24"/>
          <w:szCs w:val="24"/>
        </w:rPr>
        <w:t>(100 -200 words)</w:t>
      </w:r>
    </w:p>
    <w:p>
      <w:pPr>
        <w:spacing w:after="0" w:line="240" w:lineRule="auto"/>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Zhenying Liu is a PhD candidate and currently pursuing a PhD in Chinese Pharmacy at the Institute of Chinese Materia Medica, China Academy of Chinese Medical Sciences, focusing on the quality of medicinal and edible substances and medical plants. He also participated in the fourth national survey of Chinese medic</w:t>
      </w:r>
      <w:bookmarkStart w:id="0" w:name="_GoBack"/>
      <w:bookmarkEnd w:id="0"/>
      <w:r>
        <w:rPr>
          <w:rFonts w:hint="eastAsia" w:ascii="Times New Roman" w:hAnsi="Times New Roman" w:eastAsia="宋体" w:cs="Times New Roman"/>
          <w:sz w:val="24"/>
          <w:szCs w:val="24"/>
          <w:lang w:val="en-US" w:eastAsia="zh-CN"/>
        </w:rPr>
        <w:t>ine resources and activities sponsored by the National Science and Technology Mission. He has presented on several occasions at the National International Forum on Food and Agricultural Product Safety Testing Technology and Quality Control. At present, he has published more than a dozen papers, applied for seven patents, and won several fellowships for his work.</w:t>
      </w:r>
    </w:p>
    <w:p>
      <w:pPr>
        <w:spacing w:after="0" w:line="240" w:lineRule="auto"/>
        <w:jc w:val="both"/>
        <w:rPr>
          <w:rFonts w:hint="default" w:ascii="Times New Roman" w:hAnsi="Times New Roman" w:eastAsia="宋体" w:cs="Times New Roman"/>
          <w:sz w:val="24"/>
          <w:szCs w:val="24"/>
          <w:lang w:val="en-US" w:eastAsia="zh-CN"/>
        </w:rPr>
      </w:pPr>
    </w:p>
    <w:p>
      <w:pPr>
        <w:spacing w:after="0" w:line="240" w:lineRule="auto"/>
        <w:rPr>
          <w:rFonts w:ascii="Times New Roman" w:hAnsi="Times New Roman" w:eastAsia="Calibri" w:cs="Times New Roman"/>
          <w:sz w:val="24"/>
          <w:szCs w:val="24"/>
          <w:lang w:val="en-US"/>
        </w:rPr>
      </w:pPr>
    </w:p>
    <w:p>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w:t>
      </w:r>
      <w:r>
        <w:rPr>
          <w:rFonts w:ascii="Times New Roman" w:hAnsi="Times New Roman" w:eastAsia="Calibri" w:cs="Times New Roman"/>
          <w:sz w:val="24"/>
          <w:szCs w:val="24"/>
          <w:lang w:val="en-US"/>
        </w:rPr>
        <w:tab/>
      </w:r>
      <w:r>
        <w:rPr>
          <w:rFonts w:ascii="Times New Roman" w:hAnsi="Times New Roman" w:eastAsia="Calibri" w:cs="Times New Roman"/>
          <w:b/>
          <w:sz w:val="24"/>
          <w:szCs w:val="24"/>
          <w:lang w:val="en-US"/>
        </w:rPr>
        <w:t>Full Name:</w:t>
      </w:r>
      <w:r>
        <w:rPr>
          <w:rFonts w:ascii="Times New Roman" w:hAnsi="Times New Roman" w:eastAsia="Calibri" w:cs="Times New Roman"/>
          <w:sz w:val="24"/>
          <w:szCs w:val="24"/>
          <w:lang w:val="en-US"/>
        </w:rPr>
        <w:t xml:space="preserve"> </w:t>
      </w:r>
      <w:r>
        <w:rPr>
          <w:rFonts w:hint="eastAsia" w:ascii="Times New Roman" w:hAnsi="Times New Roman" w:eastAsia="宋体" w:cs="Times New Roman"/>
          <w:sz w:val="24"/>
          <w:szCs w:val="24"/>
          <w:lang w:val="en-US" w:eastAsia="zh-CN"/>
        </w:rPr>
        <w:t>Zhenying Liu</w:t>
      </w:r>
    </w:p>
    <w:p>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w:t>
      </w:r>
      <w:r>
        <w:rPr>
          <w:rFonts w:ascii="Times New Roman" w:hAnsi="Times New Roman" w:eastAsia="Calibri" w:cs="Times New Roman"/>
          <w:sz w:val="24"/>
          <w:szCs w:val="24"/>
          <w:lang w:val="en-US"/>
        </w:rPr>
        <w:tab/>
      </w:r>
      <w:r>
        <w:rPr>
          <w:rFonts w:ascii="Times New Roman" w:hAnsi="Times New Roman" w:eastAsia="Calibri" w:cs="Times New Roman"/>
          <w:b/>
          <w:sz w:val="24"/>
          <w:szCs w:val="24"/>
          <w:lang w:val="en-US"/>
        </w:rPr>
        <w:t>Personal Email:</w:t>
      </w:r>
      <w:r>
        <w:rPr>
          <w:rFonts w:ascii="Times New Roman" w:hAnsi="Times New Roman" w:eastAsia="Calibri" w:cs="Times New Roman"/>
          <w:sz w:val="24"/>
          <w:szCs w:val="24"/>
          <w:lang w:val="en-US"/>
        </w:rPr>
        <w:t xml:space="preserve"> </w:t>
      </w:r>
      <w:r>
        <w:rPr>
          <w:rFonts w:hint="eastAsia" w:ascii="Times New Roman" w:hAnsi="Times New Roman" w:eastAsia="宋体" w:cs="Times New Roman"/>
          <w:sz w:val="24"/>
          <w:szCs w:val="24"/>
          <w:lang w:val="en-US" w:eastAsia="zh-CN"/>
        </w:rPr>
        <w:t>liuzy9607@163</w:t>
      </w:r>
      <w:r>
        <w:rPr>
          <w:rFonts w:ascii="Times New Roman" w:hAnsi="Times New Roman" w:eastAsia="Calibri" w:cs="Times New Roman"/>
          <w:sz w:val="24"/>
          <w:szCs w:val="24"/>
          <w:lang w:val="en-US"/>
        </w:rPr>
        <w:t>.com</w:t>
      </w:r>
    </w:p>
    <w:p>
      <w:pPr>
        <w:spacing w:after="0" w:line="240" w:lineRule="auto"/>
        <w:rPr>
          <w:rFonts w:hint="default" w:ascii="Times New Roman" w:hAnsi="Times New Roman" w:eastAsia="宋体" w:cs="Times New Roman"/>
          <w:sz w:val="24"/>
          <w:szCs w:val="24"/>
          <w:lang w:val="en-US" w:eastAsia="zh-CN"/>
        </w:rPr>
      </w:pPr>
      <w:r>
        <w:rPr>
          <w:rFonts w:ascii="Times New Roman" w:hAnsi="Times New Roman" w:eastAsia="Calibri" w:cs="Times New Roman"/>
          <w:sz w:val="24"/>
          <w:szCs w:val="24"/>
          <w:lang w:val="en-US"/>
        </w:rPr>
        <w:t>•</w:t>
      </w:r>
      <w:r>
        <w:rPr>
          <w:rFonts w:ascii="Times New Roman" w:hAnsi="Times New Roman" w:eastAsia="Calibri" w:cs="Times New Roman"/>
          <w:sz w:val="24"/>
          <w:szCs w:val="24"/>
          <w:lang w:val="en-US"/>
        </w:rPr>
        <w:tab/>
      </w:r>
      <w:r>
        <w:rPr>
          <w:rFonts w:ascii="Times New Roman" w:hAnsi="Times New Roman" w:eastAsia="Calibri" w:cs="Times New Roman"/>
          <w:b/>
          <w:sz w:val="24"/>
          <w:szCs w:val="24"/>
          <w:lang w:val="en-US"/>
        </w:rPr>
        <w:t>Mobile Number:</w:t>
      </w:r>
      <w:r>
        <w:rPr>
          <w:rFonts w:ascii="Times New Roman" w:hAnsi="Times New Roman" w:eastAsia="Calibri" w:cs="Times New Roman"/>
          <w:sz w:val="24"/>
          <w:szCs w:val="24"/>
          <w:lang w:val="en-US"/>
        </w:rPr>
        <w:t xml:space="preserve"> +</w:t>
      </w:r>
      <w:r>
        <w:rPr>
          <w:rFonts w:hint="eastAsia" w:ascii="Times New Roman" w:hAnsi="Times New Roman" w:eastAsia="宋体" w:cs="Times New Roman"/>
          <w:sz w:val="24"/>
          <w:szCs w:val="24"/>
          <w:lang w:val="en-US" w:eastAsia="zh-CN"/>
        </w:rPr>
        <w:t>86-17862987069</w:t>
      </w:r>
    </w:p>
    <w:p>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w:t>
      </w:r>
      <w:r>
        <w:rPr>
          <w:rFonts w:ascii="Times New Roman" w:hAnsi="Times New Roman" w:eastAsia="Calibri" w:cs="Times New Roman"/>
          <w:sz w:val="24"/>
          <w:szCs w:val="24"/>
          <w:lang w:val="en-US"/>
        </w:rPr>
        <w:tab/>
      </w:r>
      <w:r>
        <w:rPr>
          <w:rFonts w:ascii="Times New Roman" w:hAnsi="Times New Roman" w:eastAsia="Calibri" w:cs="Times New Roman"/>
          <w:b/>
          <w:sz w:val="24"/>
          <w:szCs w:val="24"/>
          <w:lang w:val="en-US"/>
        </w:rPr>
        <w:t>Category:</w:t>
      </w:r>
      <w:r>
        <w:rPr>
          <w:rFonts w:ascii="Times New Roman" w:hAnsi="Times New Roman" w:eastAsia="Calibri" w:cs="Times New Roman"/>
          <w:sz w:val="24"/>
          <w:szCs w:val="24"/>
          <w:lang w:val="en-US"/>
        </w:rPr>
        <w:t xml:space="preserve"> (Oral presentation)</w:t>
      </w:r>
    </w:p>
    <w:p>
      <w:pPr>
        <w:spacing w:after="0" w:line="240" w:lineRule="auto"/>
        <w:rPr>
          <w:rFonts w:hint="eastAsia" w:ascii="Times New Roman" w:hAnsi="Times New Roman" w:eastAsia="宋体" w:cs="Times New Roman"/>
          <w:sz w:val="24"/>
          <w:szCs w:val="24"/>
          <w:lang w:val="en-US" w:eastAsia="zh-CN"/>
        </w:rPr>
      </w:pPr>
      <w:r>
        <w:rPr>
          <w:rFonts w:ascii="Times New Roman" w:hAnsi="Times New Roman" w:eastAsia="Calibri" w:cs="Times New Roman"/>
          <w:sz w:val="24"/>
          <w:szCs w:val="24"/>
          <w:lang w:val="en-US"/>
        </w:rPr>
        <w:t>•</w:t>
      </w:r>
      <w:r>
        <w:rPr>
          <w:rFonts w:ascii="Times New Roman" w:hAnsi="Times New Roman" w:eastAsia="Calibri" w:cs="Times New Roman"/>
          <w:sz w:val="24"/>
          <w:szCs w:val="24"/>
          <w:lang w:val="en-US"/>
        </w:rPr>
        <w:tab/>
      </w:r>
      <w:r>
        <w:rPr>
          <w:rFonts w:ascii="Times New Roman" w:hAnsi="Times New Roman" w:eastAsia="Calibri" w:cs="Times New Roman"/>
          <w:b/>
          <w:sz w:val="24"/>
          <w:szCs w:val="24"/>
          <w:lang w:val="en-US"/>
        </w:rPr>
        <w:t xml:space="preserve">Date of Birth: </w:t>
      </w:r>
      <w:r>
        <w:rPr>
          <w:rFonts w:ascii="Times New Roman" w:hAnsi="Times New Roman" w:eastAsia="Calibri" w:cs="Times New Roman"/>
          <w:sz w:val="24"/>
          <w:szCs w:val="24"/>
          <w:lang w:val="en-US"/>
        </w:rPr>
        <w:t>0</w:t>
      </w:r>
      <w:r>
        <w:rPr>
          <w:rFonts w:hint="eastAsia" w:ascii="Times New Roman" w:hAnsi="Times New Roman" w:eastAsia="宋体" w:cs="Times New Roman"/>
          <w:sz w:val="24"/>
          <w:szCs w:val="24"/>
          <w:lang w:val="en-US" w:eastAsia="zh-CN"/>
        </w:rPr>
        <w:t>7</w:t>
      </w:r>
      <w:r>
        <w:rPr>
          <w:rFonts w:ascii="Times New Roman" w:hAnsi="Times New Roman" w:eastAsia="Calibri" w:cs="Times New Roman"/>
          <w:sz w:val="24"/>
          <w:szCs w:val="24"/>
          <w:lang w:val="en-US"/>
        </w:rPr>
        <w:t>/1</w:t>
      </w:r>
      <w:r>
        <w:rPr>
          <w:rFonts w:hint="eastAsia" w:ascii="Times New Roman" w:hAnsi="Times New Roman" w:eastAsia="宋体" w:cs="Times New Roman"/>
          <w:sz w:val="24"/>
          <w:szCs w:val="24"/>
          <w:lang w:val="en-US" w:eastAsia="zh-CN"/>
        </w:rPr>
        <w:t>6</w:t>
      </w:r>
      <w:r>
        <w:rPr>
          <w:rFonts w:ascii="Times New Roman" w:hAnsi="Times New Roman" w:eastAsia="Calibri" w:cs="Times New Roman"/>
          <w:sz w:val="24"/>
          <w:szCs w:val="24"/>
          <w:lang w:val="en-US"/>
        </w:rPr>
        <w:t>/199</w:t>
      </w:r>
      <w:r>
        <w:rPr>
          <w:rFonts w:hint="eastAsia" w:ascii="Times New Roman" w:hAnsi="Times New Roman" w:eastAsia="宋体" w:cs="Times New Roman"/>
          <w:sz w:val="24"/>
          <w:szCs w:val="24"/>
          <w:lang w:val="en-US" w:eastAsia="zh-CN"/>
        </w:rPr>
        <w:t>6</w:t>
      </w:r>
    </w:p>
    <w:p>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w:t>
      </w:r>
      <w:r>
        <w:rPr>
          <w:rFonts w:ascii="Times New Roman" w:hAnsi="Times New Roman" w:eastAsia="Calibri" w:cs="Times New Roman"/>
          <w:sz w:val="24"/>
          <w:szCs w:val="24"/>
          <w:lang w:val="en-US"/>
        </w:rPr>
        <w:tab/>
      </w:r>
      <w:r>
        <w:rPr>
          <w:rFonts w:ascii="Times New Roman" w:hAnsi="Times New Roman" w:eastAsia="Calibri" w:cs="Times New Roman"/>
          <w:b/>
          <w:sz w:val="24"/>
          <w:szCs w:val="24"/>
          <w:lang w:val="en-US"/>
        </w:rPr>
        <w:t>Postal Address:</w:t>
      </w:r>
      <w:r>
        <w:rPr>
          <w:rFonts w:ascii="Times New Roman" w:hAnsi="Times New Roman" w:eastAsia="Calibri" w:cs="Times New Roman"/>
          <w:sz w:val="24"/>
          <w:szCs w:val="24"/>
          <w:lang w:val="en-US"/>
        </w:rPr>
        <w:t xml:space="preserve"> </w:t>
      </w:r>
      <w:r>
        <w:rPr>
          <w:rFonts w:hint="eastAsia" w:ascii="Times New Roman" w:hAnsi="Times New Roman" w:eastAsia="Calibri" w:cs="Times New Roman"/>
          <w:sz w:val="24"/>
          <w:szCs w:val="24"/>
          <w:lang w:val="en-US"/>
        </w:rPr>
        <w:t>Beijing city Dongcheng District Dongzhimen Nanxiaojie within 16</w:t>
      </w:r>
    </w:p>
    <w:p>
      <w:pPr>
        <w:spacing w:after="0" w:line="240" w:lineRule="auto"/>
        <w:rPr>
          <w:rFonts w:ascii="Times New Roman" w:hAnsi="Times New Roman" w:eastAsia="Calibri" w:cs="Times New Roman"/>
          <w:sz w:val="24"/>
          <w:szCs w:val="24"/>
          <w:lang w:val="en-US"/>
        </w:rPr>
      </w:pPr>
    </w:p>
    <w:p>
      <w:pPr>
        <w:spacing w:after="0" w:line="240" w:lineRule="auto"/>
        <w:jc w:val="center"/>
        <w:rPr>
          <w:rFonts w:ascii="Times New Roman" w:hAnsi="Times New Roman" w:eastAsia="Calibri" w:cs="Times New Roman"/>
          <w:sz w:val="24"/>
          <w:szCs w:val="24"/>
          <w:lang w:val="en-US"/>
        </w:rPr>
      </w:pPr>
      <w:r>
        <w:rPr>
          <w:rFonts w:ascii="Times New Roman" w:hAnsi="Times New Roman" w:eastAsia="Calibri" w:cs="Times New Roman"/>
          <w:b/>
          <w:sz w:val="24"/>
          <w:szCs w:val="24"/>
          <w:lang w:val="en-US"/>
        </w:rPr>
        <w:t>Email:</w:t>
      </w:r>
      <w:r>
        <w:rPr>
          <w:rFonts w:ascii="Times New Roman" w:hAnsi="Times New Roman" w:eastAsia="Calibri" w:cs="Times New Roman"/>
          <w:sz w:val="24"/>
          <w:szCs w:val="24"/>
          <w:lang w:val="en-US"/>
        </w:rPr>
        <w:t xml:space="preserve"> </w:t>
      </w:r>
      <w:r>
        <w:rPr>
          <w:rFonts w:hint="eastAsia" w:ascii="Times New Roman" w:hAnsi="Times New Roman" w:eastAsia="宋体" w:cs="Times New Roman"/>
          <w:sz w:val="24"/>
          <w:szCs w:val="24"/>
          <w:lang w:val="en-US" w:eastAsia="zh-CN"/>
        </w:rPr>
        <w:t>liuzy9607@163</w:t>
      </w:r>
      <w:r>
        <w:rPr>
          <w:rFonts w:ascii="Times New Roman" w:hAnsi="Times New Roman" w:eastAsia="Calibri" w:cs="Times New Roman"/>
          <w:sz w:val="24"/>
          <w:szCs w:val="24"/>
          <w:lang w:val="en-US"/>
        </w:rPr>
        <w:t xml:space="preserve">.com </w:t>
      </w:r>
    </w:p>
    <w:sectPr>
      <w:type w:val="continuous"/>
      <w:pgSz w:w="11906" w:h="16838"/>
      <w:pgMar w:top="1440" w:right="991" w:bottom="1440" w:left="993"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w Cen MT">
    <w:altName w:val="Segoe Print"/>
    <w:panose1 w:val="020B0602020104020603"/>
    <w:charset w:val="00"/>
    <w:family w:val="swiss"/>
    <w:pitch w:val="default"/>
    <w:sig w:usb0="00000000" w:usb1="00000000" w:usb2="00000000" w:usb3="00000000" w:csb0="00000003"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4313AE"/>
    <w:multiLevelType w:val="multilevel"/>
    <w:tmpl w:val="704313AE"/>
    <w:lvl w:ilvl="0" w:tentative="0">
      <w:start w:val="1"/>
      <w:numFmt w:val="decimal"/>
      <w:lvlText w:val="%1)"/>
      <w:lvlJc w:val="left"/>
      <w:pPr>
        <w:ind w:left="400" w:hanging="360"/>
      </w:pPr>
      <w:rPr>
        <w:rFonts w:hint="default" w:ascii="Calibri" w:hAnsi="Calibri" w:eastAsia="Tw Cen MT" w:cs="Tw Cen MT"/>
      </w:rPr>
    </w:lvl>
    <w:lvl w:ilvl="1" w:tentative="0">
      <w:start w:val="1"/>
      <w:numFmt w:val="lowerLetter"/>
      <w:lvlText w:val="%2."/>
      <w:lvlJc w:val="left"/>
      <w:pPr>
        <w:ind w:left="1120" w:hanging="360"/>
      </w:pPr>
    </w:lvl>
    <w:lvl w:ilvl="2" w:tentative="0">
      <w:start w:val="1"/>
      <w:numFmt w:val="lowerRoman"/>
      <w:lvlText w:val="%3."/>
      <w:lvlJc w:val="right"/>
      <w:pPr>
        <w:ind w:left="1840" w:hanging="180"/>
      </w:pPr>
    </w:lvl>
    <w:lvl w:ilvl="3" w:tentative="0">
      <w:start w:val="1"/>
      <w:numFmt w:val="decimal"/>
      <w:lvlText w:val="%4."/>
      <w:lvlJc w:val="left"/>
      <w:pPr>
        <w:ind w:left="2560" w:hanging="360"/>
      </w:pPr>
    </w:lvl>
    <w:lvl w:ilvl="4" w:tentative="0">
      <w:start w:val="1"/>
      <w:numFmt w:val="lowerLetter"/>
      <w:lvlText w:val="%5."/>
      <w:lvlJc w:val="left"/>
      <w:pPr>
        <w:ind w:left="3280" w:hanging="360"/>
      </w:pPr>
    </w:lvl>
    <w:lvl w:ilvl="5" w:tentative="0">
      <w:start w:val="1"/>
      <w:numFmt w:val="lowerRoman"/>
      <w:lvlText w:val="%6."/>
      <w:lvlJc w:val="right"/>
      <w:pPr>
        <w:ind w:left="4000" w:hanging="180"/>
      </w:pPr>
    </w:lvl>
    <w:lvl w:ilvl="6" w:tentative="0">
      <w:start w:val="1"/>
      <w:numFmt w:val="decimal"/>
      <w:lvlText w:val="%7."/>
      <w:lvlJc w:val="left"/>
      <w:pPr>
        <w:ind w:left="4720" w:hanging="360"/>
      </w:pPr>
    </w:lvl>
    <w:lvl w:ilvl="7" w:tentative="0">
      <w:start w:val="1"/>
      <w:numFmt w:val="lowerLetter"/>
      <w:lvlText w:val="%8."/>
      <w:lvlJc w:val="left"/>
      <w:pPr>
        <w:ind w:left="5440" w:hanging="360"/>
      </w:pPr>
    </w:lvl>
    <w:lvl w:ilvl="8" w:tentative="0">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0MzQwNDM3NzMyOTAwZGViMTFjZmY0M2U4NTllMzgifQ=="/>
  </w:docVars>
  <w:rsids>
    <w:rsidRoot w:val="00676597"/>
    <w:rsid w:val="00155B14"/>
    <w:rsid w:val="001753E4"/>
    <w:rsid w:val="00194BF9"/>
    <w:rsid w:val="00375B3D"/>
    <w:rsid w:val="0046369B"/>
    <w:rsid w:val="00607A26"/>
    <w:rsid w:val="00676597"/>
    <w:rsid w:val="006B3217"/>
    <w:rsid w:val="00974F83"/>
    <w:rsid w:val="009C72EB"/>
    <w:rsid w:val="00A2285E"/>
    <w:rsid w:val="00AF2CF0"/>
    <w:rsid w:val="00DF560E"/>
    <w:rsid w:val="00FA08F0"/>
    <w:rsid w:val="70393976"/>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pPr>
      <w:spacing w:after="0" w:line="240" w:lineRule="auto"/>
    </w:pPr>
    <w:rPr>
      <w:rFonts w:ascii="Tahoma" w:hAnsi="Tahoma" w:cs="Tahoma"/>
      <w:sz w:val="16"/>
      <w:szCs w:val="16"/>
    </w:rPr>
  </w:style>
  <w:style w:type="character" w:styleId="5">
    <w:name w:val="Hyperlink"/>
    <w:basedOn w:val="4"/>
    <w:unhideWhenUsed/>
    <w:uiPriority w:val="99"/>
    <w:rPr>
      <w:color w:val="0000FF" w:themeColor="hyperlink"/>
      <w:u w:val="single"/>
      <w14:textFill>
        <w14:solidFill>
          <w14:schemeClr w14:val="hlink"/>
        </w14:solidFill>
      </w14:textFill>
    </w:rPr>
  </w:style>
  <w:style w:type="paragraph" w:styleId="6">
    <w:name w:val="List Paragraph"/>
    <w:basedOn w:val="1"/>
    <w:qFormat/>
    <w:uiPriority w:val="1"/>
    <w:pPr>
      <w:widowControl w:val="0"/>
      <w:spacing w:before="90" w:after="0" w:line="200" w:lineRule="exact"/>
      <w:ind w:left="383" w:hanging="283"/>
      <w:jc w:val="both"/>
    </w:pPr>
    <w:rPr>
      <w:rFonts w:ascii="Calibri" w:hAnsi="Calibri" w:eastAsia="Calibri" w:cs="Calibri"/>
      <w:lang w:val="en-US"/>
    </w:rPr>
  </w:style>
  <w:style w:type="character" w:customStyle="1" w:styleId="7">
    <w:name w:val="Balloon Text Char"/>
    <w:basedOn w:val="4"/>
    <w:link w:val="2"/>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609</Words>
  <Characters>3475</Characters>
  <Lines>28</Lines>
  <Paragraphs>8</Paragraphs>
  <TotalTime>73</TotalTime>
  <ScaleCrop>false</ScaleCrop>
  <LinksUpToDate>false</LinksUpToDate>
  <CharactersWithSpaces>4076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2019-09-09T09:11:00Z</dcterms:created>
  <dc:creator>Medical Nanotechnology 2016</dc:creator>
  <cp:lastModifiedBy>Liuzy</cp:lastModifiedBy>
  <dcterms:modified xsi:type="dcterms:W3CDTF">2023-12-05T09:22:38Z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BB4CB3B2767C43A8A0391AA4B7B513BC_12</vt:lpwstr>
  </property>
</Properties>
</file>