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794" w:rsidRPr="009D49B8" w:rsidRDefault="003C0794" w:rsidP="0062407A">
      <w:pPr>
        <w:jc w:val="left"/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t xml:space="preserve">Title: </w:t>
      </w:r>
      <w:proofErr w:type="spellStart"/>
      <w:r w:rsidR="007A612D">
        <w:rPr>
          <w:rFonts w:eastAsia="MS PGothic"/>
          <w:b/>
          <w:color w:val="000000"/>
          <w:sz w:val="22"/>
          <w:szCs w:val="22"/>
        </w:rPr>
        <w:t>Phenolic</w:t>
      </w:r>
      <w:proofErr w:type="spellEnd"/>
      <w:r w:rsidR="007A612D">
        <w:rPr>
          <w:rFonts w:eastAsia="MS PGothic"/>
          <w:b/>
          <w:color w:val="000000"/>
          <w:sz w:val="22"/>
          <w:szCs w:val="22"/>
        </w:rPr>
        <w:t xml:space="preserve"> </w:t>
      </w:r>
      <w:proofErr w:type="spellStart"/>
      <w:r w:rsidR="007A612D">
        <w:rPr>
          <w:rFonts w:eastAsia="MS PGothic"/>
          <w:b/>
          <w:color w:val="000000"/>
          <w:sz w:val="22"/>
          <w:szCs w:val="22"/>
        </w:rPr>
        <w:t>biopolyether</w:t>
      </w:r>
      <w:proofErr w:type="spellEnd"/>
      <w:r w:rsidR="007A612D">
        <w:rPr>
          <w:rFonts w:eastAsia="MS PGothic"/>
          <w:b/>
          <w:color w:val="000000"/>
          <w:sz w:val="22"/>
          <w:szCs w:val="22"/>
        </w:rPr>
        <w:t xml:space="preserve"> from medicinal plants of </w:t>
      </w:r>
      <w:proofErr w:type="spellStart"/>
      <w:r w:rsidR="007A612D">
        <w:rPr>
          <w:rFonts w:eastAsia="MS PGothic"/>
          <w:b/>
          <w:color w:val="000000"/>
          <w:sz w:val="22"/>
          <w:szCs w:val="22"/>
        </w:rPr>
        <w:t>Boraginaceae</w:t>
      </w:r>
      <w:proofErr w:type="spellEnd"/>
      <w:r w:rsidR="007A612D">
        <w:rPr>
          <w:rFonts w:eastAsia="MS PGothic"/>
          <w:b/>
          <w:color w:val="000000"/>
          <w:sz w:val="22"/>
          <w:szCs w:val="22"/>
        </w:rPr>
        <w:t xml:space="preserve"> family – prospective anticancer agent</w:t>
      </w:r>
    </w:p>
    <w:p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3C0794" w:rsidRPr="003C0794" w:rsidRDefault="007A612D" w:rsidP="003C0794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Barbakadze V</w:t>
      </w:r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</w:p>
    <w:p w:rsidR="003C0794" w:rsidRPr="00351E9B" w:rsidRDefault="009D49B8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  <w:bookmarkStart w:id="0" w:name="a2"/>
      <w:bookmarkEnd w:id="0"/>
      <w:r w:rsidRPr="00351E9B">
        <w:rPr>
          <w:sz w:val="19"/>
          <w:szCs w:val="19"/>
          <w:lang w:val="en-IN" w:eastAsia="en-IN"/>
        </w:rPr>
        <w:t xml:space="preserve">Department of </w:t>
      </w:r>
      <w:r w:rsidR="007A612D">
        <w:rPr>
          <w:sz w:val="19"/>
          <w:szCs w:val="19"/>
          <w:lang w:val="en-IN" w:eastAsia="en-IN"/>
        </w:rPr>
        <w:t>Plant Biopolymers and Chemical Modification of Natural Compounds, Tbilisi State Medical University Kutateladze Institute of Pharmacochemistry</w:t>
      </w:r>
    </w:p>
    <w:p w:rsidR="001268DA" w:rsidRDefault="001268DA">
      <w:pPr>
        <w:rPr>
          <w:rFonts w:eastAsia="MS Mincho"/>
          <w:sz w:val="19"/>
          <w:szCs w:val="19"/>
        </w:rPr>
      </w:pPr>
    </w:p>
    <w:p w:rsidR="001268DA" w:rsidRPr="0005164C" w:rsidRDefault="001268DA" w:rsidP="009A7C82">
      <w:pPr>
        <w:jc w:val="right"/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62407A" w:rsidRDefault="00351E9B" w:rsidP="0062407A">
      <w:pPr>
        <w:pStyle w:val="ae"/>
        <w:numPr>
          <w:ilvl w:val="0"/>
          <w:numId w:val="29"/>
        </w:numPr>
        <w:jc w:val="left"/>
        <w:rPr>
          <w:rFonts w:eastAsia="MS Mincho"/>
          <w:sz w:val="19"/>
          <w:szCs w:val="19"/>
        </w:rPr>
        <w:sectPr w:rsidR="00351E9B" w:rsidRPr="0062407A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05164C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proofErr w:type="spellStart"/>
      <w:r w:rsidR="007A612D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Boraginaceae</w:t>
      </w:r>
      <w:proofErr w:type="spellEnd"/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proofErr w:type="spellStart"/>
      <w:r w:rsidR="00030A44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Phenolic</w:t>
      </w:r>
      <w:proofErr w:type="spellEnd"/>
      <w:r w:rsidR="00030A44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proofErr w:type="spellStart"/>
      <w:r w:rsidR="00030A44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biopolyether</w:t>
      </w:r>
      <w:proofErr w:type="spellEnd"/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030A44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Anticancer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030A44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Medicinal plants</w:t>
      </w:r>
    </w:p>
    <w:p w:rsidR="003C0794" w:rsidRPr="0005164C" w:rsidRDefault="003C0794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8A55B5" w:rsidRPr="0005164C" w:rsidRDefault="003C0794" w:rsidP="0062407A">
      <w:pPr>
        <w:pStyle w:val="keywords"/>
        <w:numPr>
          <w:ilvl w:val="0"/>
          <w:numId w:val="22"/>
        </w:numPr>
        <w:ind w:hanging="1714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</w:p>
    <w:p w:rsidR="009755DF" w:rsidRPr="001268DA" w:rsidRDefault="009755DF" w:rsidP="009755DF">
      <w:pPr>
        <w:jc w:val="both"/>
        <w:rPr>
          <w:sz w:val="19"/>
          <w:szCs w:val="19"/>
        </w:rPr>
      </w:pPr>
      <w:r w:rsidRPr="001268DA">
        <w:rPr>
          <w:color w:val="000000"/>
          <w:sz w:val="19"/>
          <w:szCs w:val="19"/>
        </w:rPr>
        <w:t>According to</w:t>
      </w:r>
      <w:r w:rsidRPr="001268DA">
        <w:rPr>
          <w:sz w:val="19"/>
          <w:szCs w:val="19"/>
        </w:rPr>
        <w:t xml:space="preserve"> data of </w:t>
      </w:r>
      <w:r w:rsidRPr="001268DA">
        <w:rPr>
          <w:sz w:val="19"/>
          <w:szCs w:val="19"/>
          <w:vertAlign w:val="superscript"/>
        </w:rPr>
        <w:t>13</w:t>
      </w:r>
      <w:r w:rsidRPr="001268DA">
        <w:rPr>
          <w:sz w:val="19"/>
          <w:szCs w:val="19"/>
        </w:rPr>
        <w:t xml:space="preserve">C, </w:t>
      </w:r>
      <w:r w:rsidRPr="001268DA">
        <w:rPr>
          <w:sz w:val="19"/>
          <w:szCs w:val="19"/>
          <w:vertAlign w:val="superscript"/>
        </w:rPr>
        <w:t>1</w:t>
      </w:r>
      <w:r w:rsidRPr="001268DA">
        <w:rPr>
          <w:sz w:val="19"/>
          <w:szCs w:val="19"/>
        </w:rPr>
        <w:t xml:space="preserve">H NMR, 2D </w:t>
      </w:r>
      <w:proofErr w:type="spellStart"/>
      <w:r w:rsidRPr="001268DA">
        <w:rPr>
          <w:sz w:val="19"/>
          <w:szCs w:val="19"/>
        </w:rPr>
        <w:t>heteronuclear</w:t>
      </w:r>
      <w:proofErr w:type="spellEnd"/>
      <w:r w:rsidRPr="001268DA">
        <w:rPr>
          <w:sz w:val="19"/>
          <w:szCs w:val="19"/>
        </w:rPr>
        <w:t xml:space="preserve"> </w:t>
      </w:r>
      <w:r w:rsidRPr="001268DA">
        <w:rPr>
          <w:sz w:val="19"/>
          <w:szCs w:val="19"/>
          <w:vertAlign w:val="superscript"/>
        </w:rPr>
        <w:t>1</w:t>
      </w:r>
      <w:r w:rsidRPr="001268DA">
        <w:rPr>
          <w:sz w:val="19"/>
          <w:szCs w:val="19"/>
        </w:rPr>
        <w:t>H/</w:t>
      </w:r>
      <w:r w:rsidRPr="001268DA">
        <w:rPr>
          <w:sz w:val="19"/>
          <w:szCs w:val="19"/>
          <w:vertAlign w:val="superscript"/>
        </w:rPr>
        <w:t>13</w:t>
      </w:r>
      <w:r w:rsidRPr="001268DA">
        <w:rPr>
          <w:sz w:val="19"/>
          <w:szCs w:val="19"/>
        </w:rPr>
        <w:t>C HSQC, 1D NOE  and 2D DOSY experiments</w:t>
      </w:r>
      <w:r w:rsidRPr="001268DA">
        <w:rPr>
          <w:rFonts w:eastAsia="MS PGothic"/>
          <w:color w:val="000000"/>
          <w:sz w:val="19"/>
          <w:szCs w:val="19"/>
        </w:rPr>
        <w:t xml:space="preserve"> t</w:t>
      </w:r>
      <w:r w:rsidRPr="001268DA">
        <w:rPr>
          <w:color w:val="000000"/>
          <w:spacing w:val="-1"/>
          <w:sz w:val="19"/>
          <w:szCs w:val="19"/>
        </w:rPr>
        <w:t>he main chemical constit</w:t>
      </w:r>
      <w:r w:rsidRPr="001268DA">
        <w:rPr>
          <w:color w:val="000000"/>
          <w:spacing w:val="-1"/>
          <w:sz w:val="19"/>
          <w:szCs w:val="19"/>
        </w:rPr>
        <w:softHyphen/>
      </w:r>
      <w:r w:rsidRPr="001268DA">
        <w:rPr>
          <w:color w:val="000000"/>
          <w:sz w:val="19"/>
          <w:szCs w:val="19"/>
        </w:rPr>
        <w:t xml:space="preserve">uent of </w:t>
      </w:r>
      <w:r w:rsidRPr="001268DA">
        <w:rPr>
          <w:rFonts w:eastAsia="MS PGothic"/>
          <w:color w:val="000000"/>
          <w:sz w:val="19"/>
          <w:szCs w:val="19"/>
        </w:rPr>
        <w:t xml:space="preserve">high molecular (&gt;1000 </w:t>
      </w:r>
      <w:proofErr w:type="spellStart"/>
      <w:r w:rsidRPr="001268DA">
        <w:rPr>
          <w:rFonts w:eastAsia="MS PGothic"/>
          <w:color w:val="000000"/>
          <w:sz w:val="19"/>
          <w:szCs w:val="19"/>
        </w:rPr>
        <w:t>kDa</w:t>
      </w:r>
      <w:proofErr w:type="spellEnd"/>
      <w:r w:rsidRPr="001268DA">
        <w:rPr>
          <w:rFonts w:eastAsia="MS PGothic"/>
          <w:color w:val="000000"/>
          <w:sz w:val="19"/>
          <w:szCs w:val="19"/>
        </w:rPr>
        <w:t xml:space="preserve">) </w:t>
      </w:r>
      <w:r w:rsidRPr="001268DA">
        <w:rPr>
          <w:color w:val="000000"/>
          <w:sz w:val="19"/>
          <w:szCs w:val="19"/>
        </w:rPr>
        <w:t>water-soluble</w:t>
      </w:r>
      <w:r w:rsidRPr="001268DA">
        <w:rPr>
          <w:rFonts w:eastAsia="MS PGothic"/>
          <w:color w:val="000000"/>
          <w:sz w:val="19"/>
          <w:szCs w:val="19"/>
        </w:rPr>
        <w:t xml:space="preserve"> preparations from </w:t>
      </w:r>
      <w:r w:rsidRPr="001268DA">
        <w:rPr>
          <w:sz w:val="19"/>
          <w:szCs w:val="19"/>
        </w:rPr>
        <w:t xml:space="preserve">different species of two genera </w:t>
      </w:r>
      <w:proofErr w:type="spellStart"/>
      <w:r w:rsidRPr="001268DA">
        <w:rPr>
          <w:i/>
          <w:sz w:val="19"/>
          <w:szCs w:val="19"/>
        </w:rPr>
        <w:t>Symphytum</w:t>
      </w:r>
      <w:proofErr w:type="spellEnd"/>
      <w:r w:rsidRPr="001268DA">
        <w:rPr>
          <w:sz w:val="19"/>
          <w:szCs w:val="19"/>
        </w:rPr>
        <w:t xml:space="preserve"> and </w:t>
      </w:r>
      <w:proofErr w:type="spellStart"/>
      <w:r w:rsidRPr="001268DA">
        <w:rPr>
          <w:i/>
          <w:sz w:val="19"/>
          <w:szCs w:val="19"/>
        </w:rPr>
        <w:t>Anchusa</w:t>
      </w:r>
      <w:proofErr w:type="spellEnd"/>
      <w:r w:rsidRPr="001268DA">
        <w:rPr>
          <w:rFonts w:eastAsia="MS PGothic"/>
          <w:color w:val="000000"/>
          <w:sz w:val="19"/>
          <w:szCs w:val="19"/>
        </w:rPr>
        <w:t xml:space="preserve"> (</w:t>
      </w:r>
      <w:proofErr w:type="spellStart"/>
      <w:r w:rsidRPr="001268DA">
        <w:rPr>
          <w:rFonts w:eastAsia="MS PGothic"/>
          <w:color w:val="000000"/>
          <w:sz w:val="19"/>
          <w:szCs w:val="19"/>
        </w:rPr>
        <w:t>Boraginaceae</w:t>
      </w:r>
      <w:proofErr w:type="spellEnd"/>
      <w:r w:rsidRPr="001268DA">
        <w:rPr>
          <w:rFonts w:eastAsia="MS PGothic"/>
          <w:color w:val="000000"/>
          <w:sz w:val="19"/>
          <w:szCs w:val="19"/>
        </w:rPr>
        <w:t xml:space="preserve">  family) </w:t>
      </w:r>
      <w:r w:rsidRPr="001268DA">
        <w:rPr>
          <w:color w:val="000000"/>
          <w:sz w:val="19"/>
          <w:szCs w:val="19"/>
        </w:rPr>
        <w:t xml:space="preserve">was found  to be poly[oxy-1-carboxy-2-(3,4-dihydroxyphenyl)ethylene] or </w:t>
      </w:r>
      <w:r w:rsidRPr="001268DA">
        <w:rPr>
          <w:sz w:val="19"/>
          <w:szCs w:val="19"/>
        </w:rPr>
        <w:t>poly[3-(3,4-dihydroxyphenyl)</w:t>
      </w:r>
      <w:proofErr w:type="spellStart"/>
      <w:r w:rsidRPr="001268DA">
        <w:rPr>
          <w:sz w:val="19"/>
          <w:szCs w:val="19"/>
        </w:rPr>
        <w:t>glyceric</w:t>
      </w:r>
      <w:proofErr w:type="spellEnd"/>
      <w:r w:rsidRPr="001268DA">
        <w:rPr>
          <w:sz w:val="19"/>
          <w:szCs w:val="19"/>
        </w:rPr>
        <w:t xml:space="preserve"> acid]</w:t>
      </w:r>
      <w:r w:rsidRPr="001268DA">
        <w:rPr>
          <w:color w:val="000000"/>
          <w:sz w:val="19"/>
          <w:szCs w:val="19"/>
        </w:rPr>
        <w:t xml:space="preserve"> (PDPGA). </w:t>
      </w:r>
      <w:proofErr w:type="gramStart"/>
      <w:r w:rsidRPr="001268DA">
        <w:rPr>
          <w:bCs/>
          <w:sz w:val="19"/>
          <w:szCs w:val="19"/>
        </w:rPr>
        <w:t xml:space="preserve">The  </w:t>
      </w:r>
      <w:proofErr w:type="spellStart"/>
      <w:r w:rsidRPr="001268DA">
        <w:rPr>
          <w:bCs/>
          <w:sz w:val="19"/>
          <w:szCs w:val="19"/>
        </w:rPr>
        <w:t>polyoxyethylene</w:t>
      </w:r>
      <w:proofErr w:type="spellEnd"/>
      <w:proofErr w:type="gramEnd"/>
      <w:r w:rsidRPr="001268DA">
        <w:rPr>
          <w:bCs/>
          <w:sz w:val="19"/>
          <w:szCs w:val="19"/>
        </w:rPr>
        <w:t xml:space="preserve">  chain is the backbone of this polymer molecule and 3,4-dihydroxyphenyl and carboxyl groups are regular </w:t>
      </w:r>
      <w:proofErr w:type="spellStart"/>
      <w:r w:rsidRPr="001268DA">
        <w:rPr>
          <w:bCs/>
          <w:sz w:val="19"/>
          <w:szCs w:val="19"/>
        </w:rPr>
        <w:t>substituents</w:t>
      </w:r>
      <w:proofErr w:type="spellEnd"/>
      <w:r w:rsidRPr="001268DA">
        <w:rPr>
          <w:bCs/>
          <w:sz w:val="19"/>
          <w:szCs w:val="19"/>
        </w:rPr>
        <w:t xml:space="preserve"> at two carbon atoms in the chain.  The repeating unit of this regular polymer is 3-(3</w:t>
      </w:r>
      <w:proofErr w:type="gramStart"/>
      <w:r w:rsidRPr="001268DA">
        <w:rPr>
          <w:bCs/>
          <w:sz w:val="19"/>
          <w:szCs w:val="19"/>
        </w:rPr>
        <w:t>,4</w:t>
      </w:r>
      <w:proofErr w:type="gramEnd"/>
      <w:r w:rsidRPr="001268DA">
        <w:rPr>
          <w:bCs/>
          <w:sz w:val="19"/>
          <w:szCs w:val="19"/>
        </w:rPr>
        <w:t>-dihydroxyphenyl)</w:t>
      </w:r>
      <w:proofErr w:type="spellStart"/>
      <w:r w:rsidRPr="001268DA">
        <w:rPr>
          <w:bCs/>
          <w:sz w:val="19"/>
          <w:szCs w:val="19"/>
        </w:rPr>
        <w:t>glyceric</w:t>
      </w:r>
      <w:proofErr w:type="spellEnd"/>
      <w:r w:rsidRPr="001268DA">
        <w:rPr>
          <w:bCs/>
          <w:sz w:val="19"/>
          <w:szCs w:val="19"/>
        </w:rPr>
        <w:t xml:space="preserve"> acid residue.</w:t>
      </w:r>
      <w:r w:rsidRPr="001268DA">
        <w:rPr>
          <w:b/>
          <w:bCs/>
          <w:sz w:val="19"/>
          <w:szCs w:val="19"/>
        </w:rPr>
        <w:t xml:space="preserve"> </w:t>
      </w:r>
      <w:r w:rsidRPr="001268DA">
        <w:rPr>
          <w:bCs/>
          <w:sz w:val="19"/>
          <w:szCs w:val="19"/>
        </w:rPr>
        <w:t xml:space="preserve">This compound is a first representative of a new class of natural </w:t>
      </w:r>
      <w:proofErr w:type="spellStart"/>
      <w:r w:rsidRPr="001268DA">
        <w:rPr>
          <w:bCs/>
          <w:sz w:val="19"/>
          <w:szCs w:val="19"/>
        </w:rPr>
        <w:t>polyethers</w:t>
      </w:r>
      <w:proofErr w:type="spellEnd"/>
      <w:r w:rsidRPr="001268DA">
        <w:rPr>
          <w:bCs/>
          <w:sz w:val="19"/>
          <w:szCs w:val="19"/>
        </w:rPr>
        <w:t xml:space="preserve">. </w:t>
      </w:r>
      <w:proofErr w:type="gramStart"/>
      <w:r w:rsidRPr="001268DA">
        <w:rPr>
          <w:bCs/>
          <w:sz w:val="19"/>
          <w:szCs w:val="19"/>
        </w:rPr>
        <w:t>Then</w:t>
      </w:r>
      <w:r w:rsidR="00091754">
        <w:rPr>
          <w:bCs/>
          <w:sz w:val="19"/>
          <w:szCs w:val="19"/>
        </w:rPr>
        <w:t xml:space="preserve"> </w:t>
      </w:r>
      <w:r w:rsidRPr="001268DA">
        <w:rPr>
          <w:bCs/>
          <w:sz w:val="19"/>
          <w:szCs w:val="19"/>
        </w:rPr>
        <w:t xml:space="preserve"> the</w:t>
      </w:r>
      <w:proofErr w:type="gramEnd"/>
      <w:r w:rsidRPr="001268DA">
        <w:rPr>
          <w:sz w:val="19"/>
          <w:szCs w:val="19"/>
        </w:rPr>
        <w:t xml:space="preserve"> </w:t>
      </w:r>
      <w:proofErr w:type="spellStart"/>
      <w:r w:rsidRPr="001268DA">
        <w:rPr>
          <w:sz w:val="19"/>
          <w:szCs w:val="19"/>
        </w:rPr>
        <w:t>racemic</w:t>
      </w:r>
      <w:proofErr w:type="spellEnd"/>
      <w:r w:rsidRPr="001268DA">
        <w:rPr>
          <w:sz w:val="19"/>
          <w:szCs w:val="19"/>
        </w:rPr>
        <w:t xml:space="preserve"> monomer was synthesized for  the  first time via </w:t>
      </w:r>
      <w:proofErr w:type="spellStart"/>
      <w:r w:rsidRPr="001268DA">
        <w:rPr>
          <w:sz w:val="19"/>
          <w:szCs w:val="19"/>
        </w:rPr>
        <w:t>Sharpless</w:t>
      </w:r>
      <w:proofErr w:type="spellEnd"/>
      <w:r w:rsidRPr="001268DA">
        <w:rPr>
          <w:sz w:val="19"/>
          <w:szCs w:val="19"/>
        </w:rPr>
        <w:t xml:space="preserve"> asymmetric </w:t>
      </w:r>
      <w:proofErr w:type="spellStart"/>
      <w:r w:rsidRPr="001268DA">
        <w:rPr>
          <w:sz w:val="19"/>
          <w:szCs w:val="19"/>
        </w:rPr>
        <w:t>dihydroxylation</w:t>
      </w:r>
      <w:proofErr w:type="spellEnd"/>
      <w:r w:rsidRPr="001268DA">
        <w:rPr>
          <w:sz w:val="19"/>
          <w:szCs w:val="19"/>
        </w:rPr>
        <w:t xml:space="preserve"> of </w:t>
      </w:r>
      <w:r w:rsidRPr="00091754">
        <w:rPr>
          <w:i/>
          <w:sz w:val="19"/>
          <w:szCs w:val="19"/>
        </w:rPr>
        <w:t>trans</w:t>
      </w:r>
      <w:r w:rsidRPr="001268DA">
        <w:rPr>
          <w:sz w:val="19"/>
          <w:szCs w:val="19"/>
        </w:rPr>
        <w:t>-</w:t>
      </w:r>
      <w:proofErr w:type="spellStart"/>
      <w:r w:rsidRPr="001268DA">
        <w:rPr>
          <w:sz w:val="19"/>
          <w:szCs w:val="19"/>
        </w:rPr>
        <w:t>caffeic</w:t>
      </w:r>
      <w:proofErr w:type="spellEnd"/>
      <w:r w:rsidRPr="001268DA">
        <w:rPr>
          <w:sz w:val="19"/>
          <w:szCs w:val="19"/>
        </w:rPr>
        <w:t xml:space="preserve"> acid derivative using an potassium </w:t>
      </w:r>
      <w:proofErr w:type="spellStart"/>
      <w:r w:rsidRPr="001268DA">
        <w:rPr>
          <w:sz w:val="19"/>
          <w:szCs w:val="19"/>
        </w:rPr>
        <w:t>osmiate</w:t>
      </w:r>
      <w:proofErr w:type="spellEnd"/>
      <w:r w:rsidRPr="001268DA">
        <w:rPr>
          <w:sz w:val="19"/>
          <w:szCs w:val="19"/>
        </w:rPr>
        <w:t xml:space="preserve"> catalyst. </w:t>
      </w:r>
      <w:proofErr w:type="spellStart"/>
      <w:r w:rsidRPr="001268DA">
        <w:rPr>
          <w:sz w:val="19"/>
          <w:szCs w:val="19"/>
        </w:rPr>
        <w:t>Methylated</w:t>
      </w:r>
      <w:proofErr w:type="spellEnd"/>
      <w:r w:rsidRPr="001268DA">
        <w:rPr>
          <w:sz w:val="19"/>
          <w:szCs w:val="19"/>
        </w:rPr>
        <w:t xml:space="preserve"> derivative of PDPGA was synthesized via ring opening polymerization of 2-methoxycarbonyl-3-(3</w:t>
      </w:r>
      <w:proofErr w:type="gramStart"/>
      <w:r w:rsidRPr="001268DA">
        <w:rPr>
          <w:sz w:val="19"/>
          <w:szCs w:val="19"/>
        </w:rPr>
        <w:t>,4</w:t>
      </w:r>
      <w:proofErr w:type="gramEnd"/>
      <w:r w:rsidRPr="001268DA">
        <w:rPr>
          <w:sz w:val="19"/>
          <w:szCs w:val="19"/>
        </w:rPr>
        <w:t xml:space="preserve">-dimethoxyphenyl)oxirane using a cationic initiator. PDPGA is endowed with intriguing pharmacological activities as anticomplementary, antioxidant, anti-inflammatory, burn and wound healing and anticancer properties. PDPGA and its synthetic monomer exerted anticancer activity </w:t>
      </w:r>
      <w:r w:rsidRPr="001268DA">
        <w:rPr>
          <w:i/>
          <w:sz w:val="19"/>
          <w:szCs w:val="19"/>
        </w:rPr>
        <w:t>in vitro</w:t>
      </w:r>
      <w:r w:rsidRPr="001268DA">
        <w:rPr>
          <w:sz w:val="19"/>
          <w:szCs w:val="19"/>
        </w:rPr>
        <w:t xml:space="preserve"> and </w:t>
      </w:r>
      <w:r w:rsidRPr="001268DA">
        <w:rPr>
          <w:i/>
          <w:sz w:val="19"/>
          <w:szCs w:val="19"/>
        </w:rPr>
        <w:t xml:space="preserve">in vivo </w:t>
      </w:r>
      <w:r w:rsidRPr="001268DA">
        <w:rPr>
          <w:sz w:val="19"/>
          <w:szCs w:val="19"/>
        </w:rPr>
        <w:t>against androgen-dependent  and  androgen-independent  human prostate cancer (</w:t>
      </w:r>
      <w:proofErr w:type="spellStart"/>
      <w:r w:rsidRPr="001268DA">
        <w:rPr>
          <w:sz w:val="19"/>
          <w:szCs w:val="19"/>
        </w:rPr>
        <w:t>PC</w:t>
      </w:r>
      <w:r w:rsidR="00091754">
        <w:rPr>
          <w:sz w:val="19"/>
          <w:szCs w:val="19"/>
        </w:rPr>
        <w:t>a</w:t>
      </w:r>
      <w:proofErr w:type="spellEnd"/>
      <w:r w:rsidRPr="001268DA">
        <w:rPr>
          <w:sz w:val="19"/>
          <w:szCs w:val="19"/>
        </w:rPr>
        <w:t xml:space="preserve">) cells via  targeting  androgen  receptor, cell  cycle  arrest  and  apoptosis  without  any toxicity, together  with  a strong  decrease  in  prostate specific antigen level in plasma. However anticancer efficacy of PDPGA against human PCA cells is more compared to its synthetic monomer. </w:t>
      </w:r>
      <w:proofErr w:type="spellStart"/>
      <w:r w:rsidRPr="001268DA">
        <w:rPr>
          <w:sz w:val="19"/>
          <w:szCs w:val="19"/>
        </w:rPr>
        <w:t>Methylated</w:t>
      </w:r>
      <w:proofErr w:type="spellEnd"/>
      <w:r w:rsidRPr="001268DA">
        <w:rPr>
          <w:sz w:val="19"/>
          <w:szCs w:val="19"/>
        </w:rPr>
        <w:t xml:space="preserve"> synthetic </w:t>
      </w:r>
      <w:proofErr w:type="gramStart"/>
      <w:r w:rsidRPr="001268DA">
        <w:rPr>
          <w:sz w:val="19"/>
          <w:szCs w:val="19"/>
        </w:rPr>
        <w:t>analogue  of</w:t>
      </w:r>
      <w:proofErr w:type="gramEnd"/>
      <w:r w:rsidRPr="001268DA">
        <w:rPr>
          <w:sz w:val="19"/>
          <w:szCs w:val="19"/>
        </w:rPr>
        <w:t xml:space="preserve">  PDPGA did not show any activity against </w:t>
      </w:r>
      <w:proofErr w:type="spellStart"/>
      <w:r w:rsidRPr="001268DA">
        <w:rPr>
          <w:sz w:val="19"/>
          <w:szCs w:val="19"/>
        </w:rPr>
        <w:t>PC</w:t>
      </w:r>
      <w:r w:rsidR="00091754">
        <w:rPr>
          <w:sz w:val="19"/>
          <w:szCs w:val="19"/>
        </w:rPr>
        <w:t>a</w:t>
      </w:r>
      <w:proofErr w:type="spellEnd"/>
      <w:r w:rsidRPr="001268DA">
        <w:rPr>
          <w:sz w:val="19"/>
          <w:szCs w:val="19"/>
        </w:rPr>
        <w:t xml:space="preserve">. Overall, this study identifies PDPGA as a potent agent against </w:t>
      </w:r>
      <w:proofErr w:type="spellStart"/>
      <w:r w:rsidRPr="001268DA">
        <w:rPr>
          <w:sz w:val="19"/>
          <w:szCs w:val="19"/>
        </w:rPr>
        <w:t>PC</w:t>
      </w:r>
      <w:r w:rsidR="00091754">
        <w:rPr>
          <w:sz w:val="19"/>
          <w:szCs w:val="19"/>
        </w:rPr>
        <w:t>a</w:t>
      </w:r>
      <w:proofErr w:type="spellEnd"/>
      <w:r w:rsidRPr="001268DA">
        <w:rPr>
          <w:sz w:val="19"/>
          <w:szCs w:val="19"/>
        </w:rPr>
        <w:t xml:space="preserve"> without any toxicity, and supports its clinical application.</w:t>
      </w:r>
    </w:p>
    <w:p w:rsidR="00883A50" w:rsidRDefault="00883A50" w:rsidP="00883A50">
      <w:pPr>
        <w:jc w:val="both"/>
        <w:rPr>
          <w:sz w:val="19"/>
          <w:szCs w:val="19"/>
          <w:lang w:val="en-IN" w:eastAsia="en-IN"/>
        </w:rPr>
      </w:pPr>
    </w:p>
    <w:p w:rsidR="00861508" w:rsidRDefault="00883A50" w:rsidP="00D61F7C">
      <w:pPr>
        <w:numPr>
          <w:ilvl w:val="0"/>
          <w:numId w:val="2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="00861508" w:rsidRPr="0005164C">
        <w:rPr>
          <w:b/>
          <w:sz w:val="19"/>
          <w:szCs w:val="19"/>
        </w:rPr>
        <w:t>Image:</w:t>
      </w:r>
    </w:p>
    <w:p w:rsidR="00B23BC1" w:rsidRPr="0005164C" w:rsidRDefault="00B23BC1" w:rsidP="00B23BC1">
      <w:pPr>
        <w:ind w:left="1714"/>
        <w:jc w:val="left"/>
        <w:rPr>
          <w:b/>
          <w:sz w:val="19"/>
          <w:szCs w:val="19"/>
        </w:rPr>
      </w:pPr>
    </w:p>
    <w:p w:rsidR="00B23BC1" w:rsidRDefault="00030A44" w:rsidP="00EF3FA0">
      <w:pPr>
        <w:spacing w:line="360" w:lineRule="auto"/>
        <w:jc w:val="left"/>
        <w:rPr>
          <w:sz w:val="19"/>
          <w:szCs w:val="19"/>
        </w:rPr>
      </w:pPr>
      <w:r w:rsidRPr="00030A44">
        <w:rPr>
          <w:noProof/>
          <w:sz w:val="19"/>
          <w:szCs w:val="19"/>
          <w:lang w:val="ru-RU" w:eastAsia="ru-RU"/>
        </w:rPr>
        <w:drawing>
          <wp:inline distT="0" distB="0" distL="0" distR="0">
            <wp:extent cx="990600" cy="971550"/>
            <wp:effectExtent l="19050" t="0" r="0" b="0"/>
            <wp:docPr id="4" name="Рисунок 1" descr="D:\VaxoDocs\Symphytum_Photos_Sites\Symphytum_Photos\Symph_asp_Pictur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2" name="Picture 9" descr="D:\VaxoDocs\Symphytum_Photos_Sites\Symphytum_Photos\Symph_asp_Picture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43" cy="972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3BC1">
        <w:rPr>
          <w:sz w:val="19"/>
          <w:szCs w:val="19"/>
        </w:rPr>
        <w:t xml:space="preserve"> </w:t>
      </w:r>
      <w:r w:rsidR="00B23BC1" w:rsidRPr="00B23BC1">
        <w:rPr>
          <w:noProof/>
          <w:sz w:val="19"/>
          <w:szCs w:val="19"/>
          <w:lang w:val="ru-RU" w:eastAsia="ru-RU"/>
        </w:rPr>
        <w:drawing>
          <wp:inline distT="0" distB="0" distL="0" distR="0">
            <wp:extent cx="971550" cy="971549"/>
            <wp:effectExtent l="19050" t="0" r="0" b="0"/>
            <wp:docPr id="5" name="Рисунок 2" descr="H:\S_Caucas078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4" name="Picture 8" descr="H:\S_Caucas078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82" cy="972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3BC1">
        <w:rPr>
          <w:sz w:val="19"/>
          <w:szCs w:val="19"/>
        </w:rPr>
        <w:t xml:space="preserve"> </w:t>
      </w:r>
      <w:r w:rsidR="00B23BC1" w:rsidRPr="00B23BC1">
        <w:rPr>
          <w:noProof/>
          <w:sz w:val="19"/>
          <w:szCs w:val="19"/>
          <w:lang w:val="ru-RU" w:eastAsia="ru-RU"/>
        </w:rPr>
        <w:drawing>
          <wp:inline distT="0" distB="0" distL="0" distR="0">
            <wp:extent cx="1047750" cy="971550"/>
            <wp:effectExtent l="19050" t="0" r="0" b="0"/>
            <wp:docPr id="14" name="Рисунок 3" descr="D:\VaxoDocs\Symphytum_Photos_Sites\Symphytum_Photos\Symph_offic_Pictur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6" name="Picture 2" descr="D:\VaxoDocs\Symphytum_Photos_Sites\Symphytum_Photos\Symph_offic_Picture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430" cy="972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FA0" w:rsidRPr="00EF3FA0" w:rsidRDefault="00F51E37" w:rsidP="00EF3FA0">
      <w:pPr>
        <w:spacing w:line="360" w:lineRule="auto"/>
        <w:jc w:val="lef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</w:t>
      </w:r>
      <w:proofErr w:type="spellStart"/>
      <w:r w:rsidR="00EF3FA0" w:rsidRPr="00EF3FA0">
        <w:rPr>
          <w:i/>
          <w:sz w:val="18"/>
          <w:szCs w:val="18"/>
        </w:rPr>
        <w:t>Symphytum</w:t>
      </w:r>
      <w:proofErr w:type="spellEnd"/>
      <w:r w:rsidR="00EF3FA0" w:rsidRPr="00EF3FA0">
        <w:rPr>
          <w:i/>
          <w:sz w:val="18"/>
          <w:szCs w:val="18"/>
        </w:rPr>
        <w:t xml:space="preserve"> </w:t>
      </w:r>
      <w:proofErr w:type="spellStart"/>
      <w:r w:rsidR="00EF3FA0" w:rsidRPr="00EF3FA0">
        <w:rPr>
          <w:i/>
          <w:sz w:val="18"/>
          <w:szCs w:val="18"/>
        </w:rPr>
        <w:t>asperum</w:t>
      </w:r>
      <w:proofErr w:type="spellEnd"/>
      <w:r w:rsidR="00EF3FA0">
        <w:rPr>
          <w:i/>
          <w:sz w:val="18"/>
          <w:szCs w:val="18"/>
        </w:rPr>
        <w:t xml:space="preserve">          </w:t>
      </w:r>
      <w:proofErr w:type="spellStart"/>
      <w:r w:rsidR="00EF3FA0">
        <w:rPr>
          <w:i/>
          <w:sz w:val="18"/>
          <w:szCs w:val="18"/>
        </w:rPr>
        <w:t>S.caucasicum</w:t>
      </w:r>
      <w:proofErr w:type="spellEnd"/>
      <w:r w:rsidR="00EF3FA0">
        <w:rPr>
          <w:i/>
          <w:sz w:val="18"/>
          <w:szCs w:val="18"/>
        </w:rPr>
        <w:t xml:space="preserve">                 </w:t>
      </w:r>
      <w:proofErr w:type="gramStart"/>
      <w:r w:rsidR="00EF3FA0">
        <w:rPr>
          <w:i/>
          <w:sz w:val="18"/>
          <w:szCs w:val="18"/>
        </w:rPr>
        <w:t>S..</w:t>
      </w:r>
      <w:proofErr w:type="spellStart"/>
      <w:r w:rsidR="00EF3FA0">
        <w:rPr>
          <w:i/>
          <w:sz w:val="18"/>
          <w:szCs w:val="18"/>
        </w:rPr>
        <w:t>officinale</w:t>
      </w:r>
      <w:proofErr w:type="spellEnd"/>
      <w:proofErr w:type="gramEnd"/>
    </w:p>
    <w:p w:rsidR="00861508" w:rsidRDefault="00B23BC1" w:rsidP="00EF3FA0">
      <w:pPr>
        <w:spacing w:line="360" w:lineRule="auto"/>
        <w:rPr>
          <w:sz w:val="19"/>
          <w:szCs w:val="19"/>
        </w:rPr>
      </w:pPr>
      <w:r w:rsidRPr="00B23BC1">
        <w:rPr>
          <w:noProof/>
          <w:sz w:val="19"/>
          <w:szCs w:val="19"/>
          <w:lang w:val="ru-RU" w:eastAsia="ru-RU"/>
        </w:rPr>
        <w:lastRenderedPageBreak/>
        <w:drawing>
          <wp:inline distT="0" distB="0" distL="0" distR="0">
            <wp:extent cx="1162050" cy="1038225"/>
            <wp:effectExtent l="19050" t="0" r="0" b="0"/>
            <wp:docPr id="7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8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8466F" w:rsidRPr="00B8466F">
        <w:rPr>
          <w:noProof/>
          <w:sz w:val="19"/>
          <w:szCs w:val="19"/>
          <w:lang w:val="ru-RU" w:eastAsia="ru-RU"/>
        </w:rPr>
        <w:drawing>
          <wp:inline distT="0" distB="0" distL="0" distR="0">
            <wp:extent cx="1104900" cy="1038225"/>
            <wp:effectExtent l="19050" t="0" r="0" b="0"/>
            <wp:docPr id="17" name="Рисунок 5" descr="Anchusa italic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0" name="Picture 5" descr="Anchusa italic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420" cy="1039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3BC1" w:rsidRPr="00EF3FA0" w:rsidRDefault="00EF3FA0" w:rsidP="00EF3FA0">
      <w:pPr>
        <w:spacing w:line="360" w:lineRule="auto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</w:t>
      </w:r>
      <w:proofErr w:type="spellStart"/>
      <w:r w:rsidRPr="00EF3FA0">
        <w:rPr>
          <w:i/>
          <w:sz w:val="18"/>
          <w:szCs w:val="18"/>
        </w:rPr>
        <w:t>S.grandiflorum</w:t>
      </w:r>
      <w:proofErr w:type="spellEnd"/>
      <w:r>
        <w:rPr>
          <w:i/>
          <w:sz w:val="18"/>
          <w:szCs w:val="18"/>
        </w:rPr>
        <w:t xml:space="preserve">                </w:t>
      </w:r>
      <w:proofErr w:type="spellStart"/>
      <w:r>
        <w:rPr>
          <w:i/>
          <w:sz w:val="18"/>
          <w:szCs w:val="18"/>
        </w:rPr>
        <w:t>Ancchusa</w:t>
      </w:r>
      <w:proofErr w:type="spellEnd"/>
      <w:r>
        <w:rPr>
          <w:i/>
          <w:sz w:val="18"/>
          <w:szCs w:val="18"/>
        </w:rPr>
        <w:t xml:space="preserve"> </w:t>
      </w:r>
      <w:proofErr w:type="spellStart"/>
      <w:r>
        <w:rPr>
          <w:i/>
          <w:sz w:val="18"/>
          <w:szCs w:val="18"/>
        </w:rPr>
        <w:t>italica</w:t>
      </w:r>
      <w:proofErr w:type="spellEnd"/>
    </w:p>
    <w:p w:rsidR="00EF3FA0" w:rsidRDefault="00EF3FA0" w:rsidP="00B23BC1">
      <w:pPr>
        <w:jc w:val="left"/>
        <w:rPr>
          <w:sz w:val="19"/>
          <w:szCs w:val="19"/>
        </w:rPr>
      </w:pPr>
    </w:p>
    <w:p w:rsidR="003C0794" w:rsidRPr="0005164C" w:rsidRDefault="003C0794" w:rsidP="00861508">
      <w:pPr>
        <w:pStyle w:val="a3"/>
        <w:numPr>
          <w:ilvl w:val="0"/>
          <w:numId w:val="2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11666E" w:rsidRPr="0011666E" w:rsidRDefault="0011666E" w:rsidP="0011666E">
      <w:pPr>
        <w:pStyle w:val="ae"/>
        <w:numPr>
          <w:ilvl w:val="0"/>
          <w:numId w:val="28"/>
        </w:numPr>
        <w:rPr>
          <w:rFonts w:ascii="Times New Roman" w:hAnsi="Times New Roman" w:cs="Times New Roman"/>
          <w:sz w:val="19"/>
          <w:szCs w:val="19"/>
          <w:lang w:eastAsia="ru-RU"/>
        </w:rPr>
      </w:pPr>
      <w:bookmarkStart w:id="1" w:name="2"/>
      <w:bookmarkEnd w:id="1"/>
      <w:proofErr w:type="gramStart"/>
      <w:r w:rsidRPr="0011666E">
        <w:rPr>
          <w:rFonts w:ascii="Times New Roman" w:hAnsi="Times New Roman" w:cs="Times New Roman"/>
          <w:sz w:val="19"/>
          <w:szCs w:val="19"/>
          <w:lang w:eastAsia="ru-RU"/>
        </w:rPr>
        <w:t>Barbakadze  V</w:t>
      </w:r>
      <w:proofErr w:type="gramEnd"/>
      <w:r w:rsidRPr="0011666E">
        <w:rPr>
          <w:rFonts w:ascii="Times New Roman" w:hAnsi="Times New Roman" w:cs="Times New Roman"/>
          <w:sz w:val="19"/>
          <w:szCs w:val="19"/>
          <w:lang w:eastAsia="ru-RU"/>
        </w:rPr>
        <w:t xml:space="preserve">.,  E. </w:t>
      </w:r>
      <w:proofErr w:type="spellStart"/>
      <w:r w:rsidRPr="0011666E">
        <w:rPr>
          <w:rFonts w:ascii="Times New Roman" w:hAnsi="Times New Roman" w:cs="Times New Roman"/>
          <w:sz w:val="19"/>
          <w:szCs w:val="19"/>
          <w:lang w:eastAsia="ru-RU"/>
        </w:rPr>
        <w:t>Kemertelidze</w:t>
      </w:r>
      <w:proofErr w:type="spellEnd"/>
      <w:r w:rsidRPr="0011666E">
        <w:rPr>
          <w:rFonts w:ascii="Times New Roman" w:hAnsi="Times New Roman" w:cs="Times New Roman"/>
          <w:sz w:val="19"/>
          <w:szCs w:val="19"/>
          <w:lang w:eastAsia="ru-RU"/>
        </w:rPr>
        <w:t xml:space="preserve">,  I. </w:t>
      </w:r>
      <w:proofErr w:type="spellStart"/>
      <w:r w:rsidRPr="0011666E">
        <w:rPr>
          <w:rFonts w:ascii="Times New Roman" w:hAnsi="Times New Roman" w:cs="Times New Roman"/>
          <w:sz w:val="19"/>
          <w:szCs w:val="19"/>
          <w:lang w:eastAsia="ru-RU"/>
        </w:rPr>
        <w:t>Targamadze</w:t>
      </w:r>
      <w:proofErr w:type="spellEnd"/>
      <w:r w:rsidRPr="0011666E">
        <w:rPr>
          <w:rFonts w:ascii="Times New Roman" w:hAnsi="Times New Roman" w:cs="Times New Roman"/>
          <w:sz w:val="19"/>
          <w:szCs w:val="19"/>
          <w:lang w:eastAsia="ru-RU"/>
        </w:rPr>
        <w:t xml:space="preserve">,  K. </w:t>
      </w:r>
      <w:proofErr w:type="spellStart"/>
      <w:r w:rsidRPr="0011666E">
        <w:rPr>
          <w:rFonts w:ascii="Times New Roman" w:hAnsi="Times New Roman" w:cs="Times New Roman"/>
          <w:sz w:val="19"/>
          <w:szCs w:val="19"/>
          <w:lang w:eastAsia="ru-RU"/>
        </w:rPr>
        <w:t>Mulkijanyan</w:t>
      </w:r>
      <w:proofErr w:type="spellEnd"/>
      <w:r w:rsidRPr="0011666E">
        <w:rPr>
          <w:rFonts w:ascii="Times New Roman" w:hAnsi="Times New Roman" w:cs="Times New Roman"/>
          <w:sz w:val="19"/>
          <w:szCs w:val="19"/>
          <w:lang w:eastAsia="ru-RU"/>
        </w:rPr>
        <w:t xml:space="preserve">, A.S. </w:t>
      </w:r>
      <w:proofErr w:type="spellStart"/>
      <w:r w:rsidRPr="0011666E">
        <w:rPr>
          <w:rFonts w:ascii="Times New Roman" w:hAnsi="Times New Roman" w:cs="Times New Roman"/>
          <w:sz w:val="19"/>
          <w:szCs w:val="19"/>
          <w:lang w:eastAsia="ru-RU"/>
        </w:rPr>
        <w:t>Shashko</w:t>
      </w:r>
      <w:proofErr w:type="spellEnd"/>
      <w:r w:rsidRPr="0011666E">
        <w:rPr>
          <w:rFonts w:ascii="Times New Roman" w:hAnsi="Times New Roman" w:cs="Times New Roman"/>
          <w:sz w:val="19"/>
          <w:szCs w:val="19"/>
          <w:lang w:eastAsia="ru-RU"/>
        </w:rPr>
        <w:t xml:space="preserve"> and  A.I. </w:t>
      </w:r>
      <w:proofErr w:type="spellStart"/>
      <w:r w:rsidRPr="0011666E">
        <w:rPr>
          <w:rFonts w:ascii="Times New Roman" w:hAnsi="Times New Roman" w:cs="Times New Roman"/>
          <w:sz w:val="19"/>
          <w:szCs w:val="19"/>
          <w:lang w:eastAsia="ru-RU"/>
        </w:rPr>
        <w:t>Usov</w:t>
      </w:r>
      <w:proofErr w:type="spellEnd"/>
      <w:r w:rsidRPr="0011666E">
        <w:rPr>
          <w:rFonts w:ascii="Times New Roman" w:hAnsi="Times New Roman" w:cs="Times New Roman"/>
          <w:sz w:val="19"/>
          <w:szCs w:val="19"/>
          <w:lang w:eastAsia="ru-RU"/>
        </w:rPr>
        <w:t xml:space="preserve">, 2005.  </w:t>
      </w:r>
      <w:proofErr w:type="gramStart"/>
      <w:r w:rsidRPr="0011666E">
        <w:rPr>
          <w:rFonts w:ascii="Times New Roman" w:hAnsi="Times New Roman" w:cs="Times New Roman"/>
          <w:sz w:val="19"/>
          <w:szCs w:val="19"/>
          <w:lang w:eastAsia="ru-RU"/>
        </w:rPr>
        <w:t>Poly[</w:t>
      </w:r>
      <w:proofErr w:type="gramEnd"/>
      <w:r w:rsidRPr="0011666E">
        <w:rPr>
          <w:rFonts w:ascii="Times New Roman" w:hAnsi="Times New Roman" w:cs="Times New Roman"/>
          <w:sz w:val="19"/>
          <w:szCs w:val="19"/>
          <w:lang w:eastAsia="ru-RU"/>
        </w:rPr>
        <w:t>3-(3,4-dihydroxyphenyl)</w:t>
      </w:r>
      <w:proofErr w:type="spellStart"/>
      <w:r w:rsidRPr="0011666E">
        <w:rPr>
          <w:rFonts w:ascii="Times New Roman" w:hAnsi="Times New Roman" w:cs="Times New Roman"/>
          <w:sz w:val="19"/>
          <w:szCs w:val="19"/>
          <w:lang w:eastAsia="ru-RU"/>
        </w:rPr>
        <w:t>glyceric</w:t>
      </w:r>
      <w:proofErr w:type="spellEnd"/>
      <w:r w:rsidRPr="0011666E">
        <w:rPr>
          <w:rFonts w:ascii="Times New Roman" w:hAnsi="Times New Roman" w:cs="Times New Roman"/>
          <w:sz w:val="19"/>
          <w:szCs w:val="19"/>
          <w:lang w:eastAsia="ru-RU"/>
        </w:rPr>
        <w:t xml:space="preserve"> acid], a new biologically active polymer from </w:t>
      </w:r>
      <w:proofErr w:type="spellStart"/>
      <w:r w:rsidRPr="0011666E">
        <w:rPr>
          <w:rFonts w:ascii="Times New Roman" w:hAnsi="Times New Roman" w:cs="Times New Roman"/>
          <w:i/>
          <w:sz w:val="19"/>
          <w:szCs w:val="19"/>
          <w:lang w:eastAsia="ru-RU"/>
        </w:rPr>
        <w:t>Symphytum</w:t>
      </w:r>
      <w:proofErr w:type="spellEnd"/>
      <w:r w:rsidRPr="0011666E">
        <w:rPr>
          <w:rFonts w:ascii="Times New Roman" w:hAnsi="Times New Roman" w:cs="Times New Roman"/>
          <w:i/>
          <w:sz w:val="19"/>
          <w:szCs w:val="19"/>
          <w:lang w:eastAsia="ru-RU"/>
        </w:rPr>
        <w:t xml:space="preserve"> </w:t>
      </w:r>
      <w:proofErr w:type="spellStart"/>
      <w:r w:rsidRPr="0011666E">
        <w:rPr>
          <w:rFonts w:ascii="Times New Roman" w:hAnsi="Times New Roman" w:cs="Times New Roman"/>
          <w:i/>
          <w:sz w:val="19"/>
          <w:szCs w:val="19"/>
          <w:lang w:eastAsia="ru-RU"/>
        </w:rPr>
        <w:t>asperum</w:t>
      </w:r>
      <w:proofErr w:type="spellEnd"/>
      <w:r w:rsidRPr="0011666E">
        <w:rPr>
          <w:rFonts w:ascii="Times New Roman" w:hAnsi="Times New Roman" w:cs="Times New Roman"/>
          <w:i/>
          <w:sz w:val="19"/>
          <w:szCs w:val="19"/>
          <w:lang w:eastAsia="ru-RU"/>
        </w:rPr>
        <w:t xml:space="preserve"> </w:t>
      </w:r>
      <w:proofErr w:type="spellStart"/>
      <w:r w:rsidRPr="0011666E">
        <w:rPr>
          <w:rFonts w:ascii="Times New Roman" w:hAnsi="Times New Roman" w:cs="Times New Roman"/>
          <w:sz w:val="19"/>
          <w:szCs w:val="19"/>
          <w:lang w:eastAsia="ru-RU"/>
        </w:rPr>
        <w:t>Lepech</w:t>
      </w:r>
      <w:proofErr w:type="spellEnd"/>
      <w:r w:rsidRPr="0011666E">
        <w:rPr>
          <w:rFonts w:ascii="Times New Roman" w:hAnsi="Times New Roman" w:cs="Times New Roman"/>
          <w:sz w:val="19"/>
          <w:szCs w:val="19"/>
          <w:lang w:eastAsia="ru-RU"/>
        </w:rPr>
        <w:t xml:space="preserve">.  </w:t>
      </w:r>
      <w:proofErr w:type="gramStart"/>
      <w:r w:rsidRPr="0011666E">
        <w:rPr>
          <w:rFonts w:ascii="Times New Roman" w:hAnsi="Times New Roman" w:cs="Times New Roman"/>
          <w:sz w:val="19"/>
          <w:szCs w:val="19"/>
          <w:lang w:eastAsia="ru-RU"/>
        </w:rPr>
        <w:t xml:space="preserve">and </w:t>
      </w:r>
      <w:r w:rsidRPr="0011666E">
        <w:rPr>
          <w:rFonts w:ascii="Times New Roman" w:hAnsi="Times New Roman" w:cs="Times New Roman"/>
          <w:i/>
          <w:sz w:val="19"/>
          <w:szCs w:val="19"/>
          <w:lang w:eastAsia="ru-RU"/>
        </w:rPr>
        <w:t xml:space="preserve"> </w:t>
      </w:r>
      <w:proofErr w:type="spellStart"/>
      <w:r w:rsidRPr="0011666E">
        <w:rPr>
          <w:rFonts w:ascii="Times New Roman" w:hAnsi="Times New Roman" w:cs="Times New Roman"/>
          <w:i/>
          <w:sz w:val="19"/>
          <w:szCs w:val="19"/>
          <w:lang w:eastAsia="ru-RU"/>
        </w:rPr>
        <w:t>S.caucasicum</w:t>
      </w:r>
      <w:proofErr w:type="spellEnd"/>
      <w:proofErr w:type="gramEnd"/>
      <w:r w:rsidRPr="0011666E">
        <w:rPr>
          <w:rFonts w:ascii="Times New Roman" w:hAnsi="Times New Roman" w:cs="Times New Roman"/>
          <w:sz w:val="19"/>
          <w:szCs w:val="19"/>
          <w:lang w:eastAsia="ru-RU"/>
        </w:rPr>
        <w:t xml:space="preserve">  </w:t>
      </w:r>
      <w:proofErr w:type="spellStart"/>
      <w:r w:rsidRPr="0011666E">
        <w:rPr>
          <w:rFonts w:ascii="Times New Roman" w:hAnsi="Times New Roman" w:cs="Times New Roman"/>
          <w:sz w:val="19"/>
          <w:szCs w:val="19"/>
          <w:lang w:eastAsia="ru-RU"/>
        </w:rPr>
        <w:t>Bieb</w:t>
      </w:r>
      <w:proofErr w:type="spellEnd"/>
      <w:r w:rsidRPr="0011666E">
        <w:rPr>
          <w:rFonts w:ascii="Times New Roman" w:hAnsi="Times New Roman" w:cs="Times New Roman"/>
          <w:sz w:val="19"/>
          <w:szCs w:val="19"/>
          <w:lang w:eastAsia="ru-RU"/>
        </w:rPr>
        <w:t>.  (</w:t>
      </w:r>
      <w:proofErr w:type="spellStart"/>
      <w:r w:rsidRPr="0011666E">
        <w:rPr>
          <w:rFonts w:ascii="Times New Roman" w:hAnsi="Times New Roman" w:cs="Times New Roman"/>
          <w:sz w:val="19"/>
          <w:szCs w:val="19"/>
          <w:lang w:eastAsia="ru-RU"/>
        </w:rPr>
        <w:t>Boraginaceae</w:t>
      </w:r>
      <w:proofErr w:type="spellEnd"/>
      <w:r w:rsidRPr="0011666E">
        <w:rPr>
          <w:rFonts w:ascii="Times New Roman" w:hAnsi="Times New Roman" w:cs="Times New Roman"/>
          <w:sz w:val="19"/>
          <w:szCs w:val="19"/>
          <w:lang w:eastAsia="ru-RU"/>
        </w:rPr>
        <w:t>).  Molecules, 10:1135-1144.</w:t>
      </w:r>
    </w:p>
    <w:p w:rsidR="0011666E" w:rsidRPr="0011666E" w:rsidRDefault="0011666E" w:rsidP="0011666E">
      <w:pPr>
        <w:pStyle w:val="ae"/>
        <w:spacing w:before="0" w:line="240" w:lineRule="auto"/>
        <w:ind w:firstLine="0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</w:p>
    <w:p w:rsidR="0011666E" w:rsidRDefault="0011666E" w:rsidP="0011666E">
      <w:pPr>
        <w:pStyle w:val="ae"/>
        <w:numPr>
          <w:ilvl w:val="0"/>
          <w:numId w:val="28"/>
        </w:numPr>
        <w:spacing w:before="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proofErr w:type="spellStart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>Shrotriya</w:t>
      </w:r>
      <w:proofErr w:type="spellEnd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S., G. Deep, K. </w:t>
      </w:r>
      <w:proofErr w:type="spellStart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>Ramasamy</w:t>
      </w:r>
      <w:proofErr w:type="spellEnd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, K. </w:t>
      </w:r>
      <w:proofErr w:type="spellStart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>Raina</w:t>
      </w:r>
      <w:proofErr w:type="spellEnd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, V. Barbakadze, M. </w:t>
      </w:r>
      <w:proofErr w:type="spellStart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>Merlani</w:t>
      </w:r>
      <w:proofErr w:type="spellEnd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, L. </w:t>
      </w:r>
      <w:proofErr w:type="spellStart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>Gogilashvili</w:t>
      </w:r>
      <w:proofErr w:type="spellEnd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, L. </w:t>
      </w:r>
      <w:proofErr w:type="spellStart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>Amiranashvili</w:t>
      </w:r>
      <w:proofErr w:type="spellEnd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, K. </w:t>
      </w:r>
      <w:proofErr w:type="spellStart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>Mulkijanyan</w:t>
      </w:r>
      <w:proofErr w:type="spellEnd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, K. Papadopoulos, C. </w:t>
      </w:r>
      <w:proofErr w:type="spellStart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>Agarwal</w:t>
      </w:r>
      <w:proofErr w:type="spellEnd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and R. </w:t>
      </w:r>
      <w:proofErr w:type="spellStart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>Agarwal</w:t>
      </w:r>
      <w:proofErr w:type="spellEnd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, 2012. Poly[3-(3, 4-dihydroxyphenyl) </w:t>
      </w:r>
      <w:proofErr w:type="spellStart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>glyceric</w:t>
      </w:r>
      <w:proofErr w:type="spellEnd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>] acid  from  comfrey  exerts  anti-cancer  efficacy  against  human prostate  cancer  via  targeting  androgen  receptor,  cell  cycle  arrest and apoptosis. Carcinogenesis 33, 8:1572-1580.</w:t>
      </w:r>
    </w:p>
    <w:p w:rsidR="0011666E" w:rsidRPr="0011666E" w:rsidRDefault="0011666E" w:rsidP="0011666E">
      <w:pPr>
        <w:pStyle w:val="ae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</w:p>
    <w:p w:rsidR="0011666E" w:rsidRDefault="0011666E" w:rsidP="0011666E">
      <w:pPr>
        <w:pStyle w:val="ae"/>
        <w:numPr>
          <w:ilvl w:val="0"/>
          <w:numId w:val="28"/>
        </w:numPr>
        <w:spacing w:before="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</w:t>
      </w:r>
      <w:proofErr w:type="spellStart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>Merlani</w:t>
      </w:r>
      <w:proofErr w:type="spellEnd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M., Y. Koyama, H. Sato, L. </w:t>
      </w:r>
      <w:proofErr w:type="spellStart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>Geng</w:t>
      </w:r>
      <w:proofErr w:type="spellEnd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, V. Barbakadze, B. </w:t>
      </w:r>
      <w:proofErr w:type="spellStart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>Chankvetadze</w:t>
      </w:r>
      <w:proofErr w:type="spellEnd"/>
      <w:r w:rsidRPr="0011666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and T. Nakano, 2015.  Ring-opening  polymerization  of  a  2,3-disubstituted  oxirane  leading  to  a  polyether  having  a  carbonyl–aromatic π-stacked structure. Polymer Chemistry 6, 11:1932-1936.</w:t>
      </w:r>
    </w:p>
    <w:p w:rsidR="00861508" w:rsidRPr="001268DA" w:rsidRDefault="00861508" w:rsidP="009755DF">
      <w:pPr>
        <w:pStyle w:val="ae"/>
        <w:numPr>
          <w:ilvl w:val="0"/>
          <w:numId w:val="22"/>
        </w:numPr>
        <w:shd w:val="clear" w:color="auto" w:fill="FFFFFF"/>
        <w:spacing w:before="100" w:beforeAutospacing="1" w:after="120"/>
        <w:jc w:val="left"/>
        <w:rPr>
          <w:rFonts w:ascii="Times New Roman" w:hAnsi="Times New Roman" w:cs="Times New Roman"/>
          <w:b/>
          <w:sz w:val="19"/>
          <w:szCs w:val="19"/>
        </w:rPr>
      </w:pPr>
      <w:r w:rsidRPr="001268DA">
        <w:rPr>
          <w:rFonts w:ascii="Times New Roman" w:hAnsi="Times New Roman" w:cs="Times New Roman"/>
          <w:b/>
          <w:sz w:val="19"/>
          <w:szCs w:val="19"/>
          <w:lang w:val="en-IN" w:eastAsia="en-IN"/>
        </w:rPr>
        <w:t>Biography:</w:t>
      </w:r>
    </w:p>
    <w:p w:rsidR="003E4616" w:rsidRPr="007A0285" w:rsidRDefault="003E4616" w:rsidP="003E4616">
      <w:pPr>
        <w:pStyle w:val="ad"/>
        <w:rPr>
          <w:rFonts w:ascii="Arial" w:hAnsi="Arial" w:cs="Arial"/>
        </w:rPr>
      </w:pPr>
      <w:r w:rsidRPr="007A0285">
        <w:t xml:space="preserve">Vakhtang Barbakadze has his expertise in isolation and structure elucidation of a new series of plant </w:t>
      </w:r>
      <w:proofErr w:type="spellStart"/>
      <w:r w:rsidRPr="007A0285">
        <w:t>polyethers</w:t>
      </w:r>
      <w:proofErr w:type="spellEnd"/>
      <w:r w:rsidRPr="007A0285">
        <w:t>, which are endowed with pha</w:t>
      </w:r>
      <w:r>
        <w:t>rmacological properties as anti</w:t>
      </w:r>
      <w:r w:rsidRPr="007A0285">
        <w:t xml:space="preserve">cancer agents. He has completed his </w:t>
      </w:r>
      <w:proofErr w:type="spellStart"/>
      <w:r w:rsidRPr="007A0285">
        <w:t>Ph.D</w:t>
      </w:r>
      <w:proofErr w:type="spellEnd"/>
      <w:r w:rsidRPr="007A0285">
        <w:t xml:space="preserve"> and </w:t>
      </w:r>
      <w:proofErr w:type="spellStart"/>
      <w:r w:rsidRPr="007A0285">
        <w:rPr>
          <w:bCs/>
        </w:rPr>
        <w:t>D.Sci</w:t>
      </w:r>
      <w:proofErr w:type="spellEnd"/>
      <w:r w:rsidRPr="007A0285">
        <w:rPr>
          <w:bCs/>
        </w:rPr>
        <w:t xml:space="preserve">. </w:t>
      </w:r>
      <w:proofErr w:type="gramStart"/>
      <w:r w:rsidRPr="007A0285">
        <w:t>in</w:t>
      </w:r>
      <w:proofErr w:type="gramEnd"/>
      <w:r w:rsidRPr="007A0285">
        <w:t xml:space="preserve"> 1978 and 1999. </w:t>
      </w:r>
      <w:r w:rsidRPr="007A0285">
        <w:rPr>
          <w:bCs/>
        </w:rPr>
        <w:t xml:space="preserve">He is the head of Department of plant biopolymers and chemical modification of natural compounds at the Tbilisi State Medical University Institute of Pharmacochemistry. </w:t>
      </w:r>
      <w:r w:rsidRPr="007A0285">
        <w:t>1996 and 2002 he has been a visiting scientist at Utrecht University, The Netherlands, by University Scholarship</w:t>
      </w:r>
      <w:r w:rsidRPr="007A0285">
        <w:rPr>
          <w:bCs/>
        </w:rPr>
        <w:t xml:space="preserve"> and </w:t>
      </w:r>
      <w:r w:rsidRPr="007A0285">
        <w:t>The Netherlands organization for scientific research (NWO) Scholarship</w:t>
      </w:r>
      <w:r w:rsidRPr="007A0285">
        <w:rPr>
          <w:bCs/>
        </w:rPr>
        <w:t xml:space="preserve"> Scientific Program, respectively</w:t>
      </w:r>
      <w:r w:rsidRPr="007A0285">
        <w:t xml:space="preserve">. </w:t>
      </w:r>
      <w:r w:rsidRPr="007A0285">
        <w:rPr>
          <w:bCs/>
        </w:rPr>
        <w:t xml:space="preserve">He has </w:t>
      </w:r>
      <w:proofErr w:type="gramStart"/>
      <w:r w:rsidRPr="007A0285">
        <w:rPr>
          <w:bCs/>
        </w:rPr>
        <w:t>published</w:t>
      </w:r>
      <w:r w:rsidR="009A7C82">
        <w:rPr>
          <w:bCs/>
        </w:rPr>
        <w:t xml:space="preserve"> </w:t>
      </w:r>
      <w:r w:rsidRPr="007A0285">
        <w:rPr>
          <w:bCs/>
        </w:rPr>
        <w:t xml:space="preserve"> more</w:t>
      </w:r>
      <w:proofErr w:type="gramEnd"/>
      <w:r w:rsidRPr="007A0285">
        <w:rPr>
          <w:bCs/>
        </w:rPr>
        <w:t xml:space="preserve"> than </w:t>
      </w:r>
      <w:r>
        <w:rPr>
          <w:bCs/>
        </w:rPr>
        <w:t>100</w:t>
      </w:r>
      <w:r w:rsidRPr="007A0285">
        <w:rPr>
          <w:bCs/>
        </w:rPr>
        <w:t xml:space="preserve"> papers in reputed journals.</w:t>
      </w:r>
    </w:p>
    <w:p w:rsidR="00861508" w:rsidRPr="0005164C" w:rsidRDefault="00861508" w:rsidP="00861508">
      <w:pPr>
        <w:jc w:val="both"/>
        <w:rPr>
          <w:rFonts w:eastAsia="MS PGothic"/>
          <w:b/>
          <w:sz w:val="19"/>
          <w:szCs w:val="19"/>
        </w:rPr>
      </w:pPr>
    </w:p>
    <w:p w:rsidR="00272C82" w:rsidRPr="0005164C" w:rsidRDefault="00861508" w:rsidP="009755D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lastRenderedPageBreak/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EF3FA0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EF3FA0">
        <w:rPr>
          <w:noProof/>
          <w:sz w:val="19"/>
          <w:szCs w:val="19"/>
          <w:lang w:val="ru-RU" w:eastAsia="ru-RU"/>
        </w:rPr>
        <w:drawing>
          <wp:inline distT="0" distB="0" distL="0" distR="0">
            <wp:extent cx="838200" cy="1081145"/>
            <wp:effectExtent l="19050" t="0" r="0" b="0"/>
            <wp:docPr id="18" name="Picture 3" descr="D:\VaxoDocs\Photo_Vakho\Barbakad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VaxoDocs\Photo_Vakho\Barbakadz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982" cy="1089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EF3FA0">
        <w:rPr>
          <w:sz w:val="19"/>
          <w:szCs w:val="19"/>
          <w:lang w:val="en-NZ"/>
        </w:rPr>
        <w:t xml:space="preserve"> Vakhtang Barbakadze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EF3FA0">
        <w:rPr>
          <w:sz w:val="19"/>
          <w:szCs w:val="19"/>
          <w:lang w:val="en-NZ"/>
        </w:rPr>
        <w:t xml:space="preserve"> +995595531509</w:t>
      </w:r>
      <w:r w:rsidRPr="0005164C">
        <w:rPr>
          <w:sz w:val="19"/>
          <w:szCs w:val="19"/>
          <w:lang w:val="en-NZ"/>
        </w:rPr>
        <w:br/>
        <w:t>Twitter account:</w:t>
      </w:r>
      <w:r w:rsidR="00F51E37">
        <w:rPr>
          <w:sz w:val="19"/>
          <w:szCs w:val="19"/>
          <w:lang w:val="en-NZ"/>
        </w:rPr>
        <w:t xml:space="preserve"> </w:t>
      </w:r>
      <w:r w:rsidR="00F51E37" w:rsidRPr="002556F9">
        <w:t>https://twitter.com/vvbarbakadze</w:t>
      </w:r>
      <w:r w:rsidR="00EF3FA0">
        <w:rPr>
          <w:sz w:val="19"/>
          <w:szCs w:val="19"/>
          <w:lang w:val="en-NZ"/>
        </w:rPr>
        <w:t xml:space="preserve"> </w:t>
      </w:r>
      <w:r w:rsidRPr="0005164C">
        <w:rPr>
          <w:sz w:val="19"/>
          <w:szCs w:val="19"/>
          <w:lang w:val="en-NZ"/>
        </w:rPr>
        <w:br/>
        <w:t>Linked In account:</w:t>
      </w:r>
      <w:r w:rsidR="00EF3FA0" w:rsidRPr="00EF3FA0">
        <w:rPr>
          <w:sz w:val="19"/>
          <w:szCs w:val="19"/>
        </w:rPr>
        <w:t xml:space="preserve"> </w:t>
      </w:r>
      <w:hyperlink r:id="rId11" w:history="1">
        <w:r w:rsidR="00EF3FA0" w:rsidRPr="00EF3FA0">
          <w:rPr>
            <w:rStyle w:val="a7"/>
            <w:rFonts w:eastAsia="MS Mincho"/>
            <w:color w:val="auto"/>
            <w:sz w:val="19"/>
            <w:szCs w:val="19"/>
            <w:u w:val="none"/>
          </w:rPr>
          <w:t>http://lnkd.in/pQQgMB</w:t>
        </w:r>
      </w:hyperlink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624AB0">
        <w:rPr>
          <w:sz w:val="19"/>
          <w:szCs w:val="19"/>
          <w:lang w:val="en-NZ"/>
        </w:rPr>
        <w:t xml:space="preserve"> Medicinal Plant Sciences/Session 8</w:t>
      </w:r>
      <w:r w:rsidRPr="0005164C">
        <w:rPr>
          <w:sz w:val="19"/>
          <w:szCs w:val="19"/>
          <w:lang w:val="en-NZ"/>
        </w:rPr>
        <w:br/>
        <w:t>Category: (Oral presentation/ Poster presentation)</w:t>
      </w:r>
      <w:r w:rsidR="00F51E37">
        <w:rPr>
          <w:sz w:val="19"/>
          <w:szCs w:val="19"/>
          <w:lang w:val="en-NZ"/>
        </w:rPr>
        <w:t xml:space="preserve"> Oral presentation</w:t>
      </w:r>
    </w:p>
    <w:p w:rsidR="00861508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IN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F51E37">
        <w:rPr>
          <w:sz w:val="18"/>
          <w:szCs w:val="18"/>
          <w:lang w:val="en-IN"/>
        </w:rPr>
        <w:t xml:space="preserve"> 10AB18234</w:t>
      </w:r>
    </w:p>
    <w:p w:rsidR="00EF3FA0" w:rsidRDefault="00EF3FA0" w:rsidP="00861508">
      <w:pPr>
        <w:autoSpaceDE w:val="0"/>
        <w:autoSpaceDN w:val="0"/>
        <w:adjustRightInd w:val="0"/>
        <w:jc w:val="left"/>
        <w:rPr>
          <w:sz w:val="18"/>
          <w:szCs w:val="18"/>
          <w:lang w:val="en-IN"/>
        </w:rPr>
      </w:pPr>
    </w:p>
    <w:p w:rsidR="00EF3FA0" w:rsidRDefault="00EF3FA0" w:rsidP="00861508">
      <w:pPr>
        <w:autoSpaceDE w:val="0"/>
        <w:autoSpaceDN w:val="0"/>
        <w:adjustRightInd w:val="0"/>
        <w:jc w:val="left"/>
        <w:rPr>
          <w:sz w:val="18"/>
          <w:szCs w:val="18"/>
          <w:lang w:val="en-IN"/>
        </w:rPr>
      </w:pPr>
    </w:p>
    <w:p w:rsidR="001268DA" w:rsidRDefault="00EF3FA0" w:rsidP="00EF3FA0">
      <w:pPr>
        <w:jc w:val="both"/>
        <w:rPr>
          <w:sz w:val="19"/>
          <w:szCs w:val="19"/>
        </w:rPr>
      </w:pPr>
      <w:r w:rsidRPr="003E4616">
        <w:rPr>
          <w:sz w:val="19"/>
          <w:szCs w:val="19"/>
        </w:rPr>
        <w:t xml:space="preserve">„The presentation was supported by </w:t>
      </w:r>
      <w:proofErr w:type="spellStart"/>
      <w:r w:rsidRPr="003E4616">
        <w:rPr>
          <w:sz w:val="19"/>
          <w:szCs w:val="19"/>
        </w:rPr>
        <w:t>Shota</w:t>
      </w:r>
      <w:proofErr w:type="spellEnd"/>
      <w:r w:rsidRPr="003E4616">
        <w:rPr>
          <w:sz w:val="19"/>
          <w:szCs w:val="19"/>
        </w:rPr>
        <w:t xml:space="preserve"> </w:t>
      </w:r>
      <w:proofErr w:type="spellStart"/>
      <w:r w:rsidRPr="003E4616">
        <w:rPr>
          <w:sz w:val="19"/>
          <w:szCs w:val="19"/>
        </w:rPr>
        <w:t>Rustaveli</w:t>
      </w:r>
      <w:proofErr w:type="spellEnd"/>
      <w:r w:rsidRPr="003E4616">
        <w:rPr>
          <w:sz w:val="19"/>
          <w:szCs w:val="19"/>
        </w:rPr>
        <w:t xml:space="preserve"> National Science Foundation of Georgia (SRNSFG) [grant number </w:t>
      </w:r>
      <w:r w:rsidR="003E4616">
        <w:rPr>
          <w:sz w:val="19"/>
          <w:szCs w:val="19"/>
          <w:lang w:val="ka-GE"/>
        </w:rPr>
        <w:t>.....</w:t>
      </w:r>
      <w:r w:rsidRPr="003E4616">
        <w:rPr>
          <w:sz w:val="19"/>
          <w:szCs w:val="19"/>
          <w:lang w:val="ka-GE"/>
        </w:rPr>
        <w:t>?</w:t>
      </w:r>
      <w:proofErr w:type="gramStart"/>
      <w:r w:rsidRPr="003E4616">
        <w:rPr>
          <w:sz w:val="19"/>
          <w:szCs w:val="19"/>
        </w:rPr>
        <w:t>]“</w:t>
      </w:r>
      <w:proofErr w:type="gramEnd"/>
      <w:r w:rsidRPr="003E4616">
        <w:rPr>
          <w:sz w:val="19"/>
          <w:szCs w:val="19"/>
        </w:rPr>
        <w:t xml:space="preserve"> </w:t>
      </w:r>
    </w:p>
    <w:p w:rsidR="00EF3FA0" w:rsidRPr="003E4616" w:rsidRDefault="00EF3FA0" w:rsidP="00EF3FA0">
      <w:pPr>
        <w:jc w:val="both"/>
        <w:rPr>
          <w:sz w:val="19"/>
          <w:szCs w:val="19"/>
          <w:lang w:val="ka-GE"/>
        </w:rPr>
      </w:pPr>
      <w:r w:rsidRPr="003E4616">
        <w:rPr>
          <w:sz w:val="19"/>
          <w:szCs w:val="19"/>
        </w:rPr>
        <w:t xml:space="preserve"> </w:t>
      </w:r>
    </w:p>
    <w:p w:rsidR="00EF3FA0" w:rsidRDefault="00EF3FA0" w:rsidP="001268DA">
      <w:pPr>
        <w:jc w:val="left"/>
      </w:pPr>
      <w:r w:rsidRPr="006D15A3">
        <w:rPr>
          <w:noProof/>
          <w:lang w:val="ru-RU" w:eastAsia="ru-RU"/>
        </w:rPr>
        <w:drawing>
          <wp:inline distT="0" distB="0" distL="0" distR="0">
            <wp:extent cx="2248350" cy="1085850"/>
            <wp:effectExtent l="19050" t="0" r="0" b="0"/>
            <wp:docPr id="19" name="Picture 7" descr="Image result for rustaveli found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rustaveli foundation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3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68DA" w:rsidRDefault="001268DA" w:rsidP="001268DA">
      <w:pPr>
        <w:jc w:val="left"/>
      </w:pPr>
    </w:p>
    <w:p w:rsidR="00EF3FA0" w:rsidRPr="0005164C" w:rsidRDefault="00EF3FA0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</w:p>
    <w:sectPr w:rsidR="00EF3FA0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0F4470A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6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335DF9"/>
    <w:multiLevelType w:val="hybridMultilevel"/>
    <w:tmpl w:val="B622DEBC"/>
    <w:lvl w:ilvl="0" w:tplc="9EFC9698">
      <w:start w:val="1"/>
      <w:numFmt w:val="decimal"/>
      <w:lvlText w:val="%1."/>
      <w:lvlJc w:val="left"/>
      <w:pPr>
        <w:ind w:left="13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8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0">
    <w:nsid w:val="3C4855C4"/>
    <w:multiLevelType w:val="multilevel"/>
    <w:tmpl w:val="043A8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89603E"/>
    <w:multiLevelType w:val="multilevel"/>
    <w:tmpl w:val="1E7CD33E"/>
    <w:lvl w:ilvl="0">
      <w:start w:val="1"/>
      <w:numFmt w:val="upperRoman"/>
      <w:pStyle w:val="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2">
    <w:nsid w:val="49B911EE"/>
    <w:multiLevelType w:val="hybridMultilevel"/>
    <w:tmpl w:val="27766684"/>
    <w:lvl w:ilvl="0" w:tplc="1A580952">
      <w:start w:val="1"/>
      <w:numFmt w:val="upperRoman"/>
      <w:lvlText w:val="%1."/>
      <w:lvlJc w:val="left"/>
      <w:pPr>
        <w:ind w:left="2990" w:hanging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5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850AC4"/>
    <w:multiLevelType w:val="hybridMultilevel"/>
    <w:tmpl w:val="B2D062F8"/>
    <w:lvl w:ilvl="0" w:tplc="1A580952">
      <w:start w:val="1"/>
      <w:numFmt w:val="upperRoman"/>
      <w:lvlText w:val="%1."/>
      <w:lvlJc w:val="left"/>
      <w:pPr>
        <w:ind w:left="1714" w:hanging="720"/>
      </w:pPr>
      <w:rPr>
        <w:rFonts w:ascii="Times New Roman" w:hAnsi="Times New Roman"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9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8"/>
  </w:num>
  <w:num w:numId="2">
    <w:abstractNumId w:val="17"/>
  </w:num>
  <w:num w:numId="3">
    <w:abstractNumId w:val="4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4"/>
  </w:num>
  <w:num w:numId="9">
    <w:abstractNumId w:val="18"/>
  </w:num>
  <w:num w:numId="10">
    <w:abstractNumId w:val="9"/>
  </w:num>
  <w:num w:numId="11">
    <w:abstractNumId w:val="3"/>
  </w:num>
  <w:num w:numId="12">
    <w:abstractNumId w:val="21"/>
  </w:num>
  <w:num w:numId="13">
    <w:abstractNumId w:val="13"/>
  </w:num>
  <w:num w:numId="14">
    <w:abstractNumId w:val="15"/>
  </w:num>
  <w:num w:numId="15">
    <w:abstractNumId w:val="6"/>
    <w:lvlOverride w:ilvl="0">
      <w:startOverride w:val="1"/>
    </w:lvlOverride>
  </w:num>
  <w:num w:numId="16">
    <w:abstractNumId w:val="6"/>
    <w:lvlOverride w:ilvl="0">
      <w:startOverride w:val="2"/>
    </w:lvlOverride>
  </w:num>
  <w:num w:numId="17">
    <w:abstractNumId w:val="6"/>
    <w:lvlOverride w:ilvl="0">
      <w:startOverride w:val="3"/>
    </w:lvlOverride>
  </w:num>
  <w:num w:numId="18">
    <w:abstractNumId w:val="6"/>
    <w:lvlOverride w:ilvl="0">
      <w:startOverride w:val="4"/>
    </w:lvlOverride>
  </w:num>
  <w:num w:numId="19">
    <w:abstractNumId w:val="6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6"/>
  </w:num>
  <w:num w:numId="23">
    <w:abstractNumId w:val="19"/>
  </w:num>
  <w:num w:numId="24">
    <w:abstractNumId w:val="20"/>
  </w:num>
  <w:num w:numId="25">
    <w:abstractNumId w:val="0"/>
  </w:num>
  <w:num w:numId="26">
    <w:abstractNumId w:val="10"/>
  </w:num>
  <w:num w:numId="27">
    <w:abstractNumId w:val="5"/>
  </w:num>
  <w:num w:numId="28">
    <w:abstractNumId w:val="7"/>
  </w:num>
  <w:num w:numId="2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1028"/>
  <w:defaultTabStop w:val="720"/>
  <w:doNotHyphenateCaps/>
  <w:characterSpacingControl w:val="doNotCompress"/>
  <w:doNotValidateAgainstSchema/>
  <w:doNotDemarcateInvalidXml/>
  <w:compat/>
  <w:rsids>
    <w:rsidRoot w:val="003A59A6"/>
    <w:rsid w:val="00030A44"/>
    <w:rsid w:val="0004390D"/>
    <w:rsid w:val="0005164C"/>
    <w:rsid w:val="00091754"/>
    <w:rsid w:val="000B4641"/>
    <w:rsid w:val="0010711E"/>
    <w:rsid w:val="0011666E"/>
    <w:rsid w:val="001268DA"/>
    <w:rsid w:val="00127EDD"/>
    <w:rsid w:val="002043C0"/>
    <w:rsid w:val="00272C82"/>
    <w:rsid w:val="00276735"/>
    <w:rsid w:val="002864A3"/>
    <w:rsid w:val="002B3B81"/>
    <w:rsid w:val="00351E9B"/>
    <w:rsid w:val="003A47B5"/>
    <w:rsid w:val="003A59A6"/>
    <w:rsid w:val="003C0794"/>
    <w:rsid w:val="003E4616"/>
    <w:rsid w:val="004059FE"/>
    <w:rsid w:val="004227FF"/>
    <w:rsid w:val="004445B3"/>
    <w:rsid w:val="0044547F"/>
    <w:rsid w:val="005B520E"/>
    <w:rsid w:val="005B535B"/>
    <w:rsid w:val="006108A4"/>
    <w:rsid w:val="0062407A"/>
    <w:rsid w:val="00624AB0"/>
    <w:rsid w:val="00663E31"/>
    <w:rsid w:val="006C4648"/>
    <w:rsid w:val="006E74CE"/>
    <w:rsid w:val="0072064C"/>
    <w:rsid w:val="007442B3"/>
    <w:rsid w:val="007521AC"/>
    <w:rsid w:val="00753F7B"/>
    <w:rsid w:val="0078398E"/>
    <w:rsid w:val="00787C5A"/>
    <w:rsid w:val="007919DE"/>
    <w:rsid w:val="007A612D"/>
    <w:rsid w:val="007C0308"/>
    <w:rsid w:val="008014D2"/>
    <w:rsid w:val="008054BC"/>
    <w:rsid w:val="00812538"/>
    <w:rsid w:val="00841147"/>
    <w:rsid w:val="00861508"/>
    <w:rsid w:val="0088308B"/>
    <w:rsid w:val="00883A50"/>
    <w:rsid w:val="008A55B5"/>
    <w:rsid w:val="008A75C8"/>
    <w:rsid w:val="00907876"/>
    <w:rsid w:val="0097508D"/>
    <w:rsid w:val="009755DF"/>
    <w:rsid w:val="009A7C82"/>
    <w:rsid w:val="009D49B8"/>
    <w:rsid w:val="00A510F7"/>
    <w:rsid w:val="00AC6519"/>
    <w:rsid w:val="00B23BC1"/>
    <w:rsid w:val="00B8466F"/>
    <w:rsid w:val="00CB1404"/>
    <w:rsid w:val="00CB66E6"/>
    <w:rsid w:val="00D319E1"/>
    <w:rsid w:val="00D61F7C"/>
    <w:rsid w:val="00D9156D"/>
    <w:rsid w:val="00E177DC"/>
    <w:rsid w:val="00E91219"/>
    <w:rsid w:val="00E918C4"/>
    <w:rsid w:val="00EA506F"/>
    <w:rsid w:val="00EE4362"/>
    <w:rsid w:val="00EF18D7"/>
    <w:rsid w:val="00EF1E8A"/>
    <w:rsid w:val="00EF3A1A"/>
    <w:rsid w:val="00EF3FA0"/>
    <w:rsid w:val="00F51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2">
    <w:name w:val="heading 2"/>
    <w:basedOn w:val="a"/>
    <w:next w:val="a"/>
    <w:link w:val="20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3">
    <w:name w:val="heading 3"/>
    <w:basedOn w:val="a"/>
    <w:next w:val="a"/>
    <w:link w:val="30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4">
    <w:name w:val="heading 4"/>
    <w:basedOn w:val="a"/>
    <w:next w:val="a"/>
    <w:link w:val="40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5">
    <w:name w:val="heading 5"/>
    <w:basedOn w:val="a"/>
    <w:next w:val="a"/>
    <w:link w:val="50"/>
    <w:uiPriority w:val="99"/>
    <w:qFormat/>
    <w:rsid w:val="007521AC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20">
    <w:name w:val="Заголовок 2 Знак"/>
    <w:link w:val="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30">
    <w:name w:val="Заголовок 3 Знак"/>
    <w:link w:val="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40">
    <w:name w:val="Заголовок 4 Знак"/>
    <w:link w:val="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50">
    <w:name w:val="Заголовок 5 Знак"/>
    <w:link w:val="5"/>
    <w:uiPriority w:val="9"/>
    <w:semiHidden/>
    <w:locked/>
    <w:rsid w:val="007521AC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rsid w:val="007521AC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rsid w:val="007521AC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a3">
    <w:name w:val="Body Text"/>
    <w:basedOn w:val="a"/>
    <w:link w:val="a4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a4">
    <w:name w:val="Основной текст Знак"/>
    <w:link w:val="a3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a3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a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rsid w:val="007521AC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rsid w:val="007521AC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a"/>
    <w:uiPriority w:val="99"/>
    <w:rsid w:val="007521AC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7521AC"/>
    <w:rPr>
      <w:i/>
      <w:iCs/>
      <w:sz w:val="15"/>
      <w:szCs w:val="15"/>
    </w:rPr>
  </w:style>
  <w:style w:type="paragraph" w:customStyle="1" w:styleId="tablecopy">
    <w:name w:val="table copy"/>
    <w:uiPriority w:val="99"/>
    <w:rsid w:val="007521AC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rsid w:val="007521AC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a5">
    <w:name w:val="Normal (Web)"/>
    <w:basedOn w:val="a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a6">
    <w:name w:val="Strong"/>
    <w:uiPriority w:val="22"/>
    <w:qFormat/>
    <w:rsid w:val="003C0794"/>
    <w:rPr>
      <w:b/>
      <w:bCs/>
    </w:rPr>
  </w:style>
  <w:style w:type="character" w:styleId="a7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a8">
    <w:name w:val="Emphasis"/>
    <w:uiPriority w:val="20"/>
    <w:qFormat/>
    <w:rsid w:val="003C0794"/>
    <w:rPr>
      <w:i/>
      <w:iCs/>
    </w:rPr>
  </w:style>
  <w:style w:type="paragraph" w:styleId="a9">
    <w:name w:val="annotation text"/>
    <w:basedOn w:val="a"/>
    <w:link w:val="aa"/>
    <w:uiPriority w:val="99"/>
    <w:semiHidden/>
    <w:unhideWhenUsed/>
    <w:rsid w:val="003C0794"/>
  </w:style>
  <w:style w:type="character" w:customStyle="1" w:styleId="aa">
    <w:name w:val="Текст примечания Знак"/>
    <w:link w:val="a9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ab">
    <w:name w:val="annotation subject"/>
    <w:basedOn w:val="a9"/>
    <w:next w:val="a9"/>
    <w:link w:val="ac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ac">
    <w:name w:val="Тема примечания Знак"/>
    <w:link w:val="ab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customStyle="1" w:styleId="ad">
    <w:name w:val="Название предприятия"/>
    <w:basedOn w:val="a"/>
    <w:next w:val="a"/>
    <w:autoRedefine/>
    <w:rsid w:val="003E4616"/>
    <w:pPr>
      <w:jc w:val="both"/>
    </w:pPr>
    <w:rPr>
      <w:color w:val="000000"/>
      <w:sz w:val="19"/>
      <w:szCs w:val="19"/>
    </w:rPr>
  </w:style>
  <w:style w:type="paragraph" w:styleId="ae">
    <w:name w:val="List Paragraph"/>
    <w:basedOn w:val="a"/>
    <w:uiPriority w:val="1"/>
    <w:qFormat/>
    <w:rsid w:val="0011666E"/>
    <w:pPr>
      <w:widowControl w:val="0"/>
      <w:spacing w:before="90" w:line="200" w:lineRule="exact"/>
      <w:ind w:left="383" w:hanging="283"/>
      <w:jc w:val="both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lnkd.in/pQQgMB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686</Words>
  <Characters>3915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Paper Title (use style: paper title)</vt:lpstr>
      <vt:lpstr>Paper Title (use style: paper title)</vt:lpstr>
    </vt:vector>
  </TitlesOfParts>
  <Company>IEEE</Company>
  <LinksUpToDate>false</LinksUpToDate>
  <CharactersWithSpaces>4592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Vakhtang Barbakadze</cp:lastModifiedBy>
  <cp:revision>11</cp:revision>
  <dcterms:created xsi:type="dcterms:W3CDTF">2019-03-14T08:25:00Z</dcterms:created>
  <dcterms:modified xsi:type="dcterms:W3CDTF">2019-03-14T11:56:00Z</dcterms:modified>
</cp:coreProperties>
</file>