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6C60" w:rsidRDefault="00757B46" w:rsidP="007F6C60">
      <w:pPr>
        <w:pStyle w:val="NormalWeb"/>
        <w:spacing w:before="0" w:beforeAutospacing="0" w:after="0" w:afterAutospacing="0"/>
        <w:ind w:left="488" w:right="893"/>
        <w:jc w:val="both"/>
        <w:rPr>
          <w:b/>
          <w:bCs/>
          <w:color w:val="000000"/>
          <w:sz w:val="32"/>
          <w:szCs w:val="32"/>
        </w:rPr>
      </w:pPr>
      <w:r>
        <w:rPr>
          <w:b/>
          <w:bCs/>
          <w:color w:val="000000"/>
          <w:sz w:val="32"/>
          <w:szCs w:val="32"/>
        </w:rPr>
        <w:t>Utility of the Internal Transcribed Spacer (ITS) as a potential</w:t>
      </w:r>
      <w:r w:rsidR="007F6C60">
        <w:rPr>
          <w:b/>
          <w:bCs/>
          <w:color w:val="000000"/>
          <w:sz w:val="32"/>
          <w:szCs w:val="32"/>
        </w:rPr>
        <w:t> barcode</w:t>
      </w:r>
      <w:r>
        <w:rPr>
          <w:b/>
          <w:bCs/>
          <w:color w:val="000000"/>
          <w:sz w:val="32"/>
          <w:szCs w:val="32"/>
        </w:rPr>
        <w:t xml:space="preserve"> marker for the identification and discrimination of Kutsaga</w:t>
      </w:r>
      <w:r w:rsidR="007F6C60">
        <w:rPr>
          <w:b/>
          <w:bCs/>
          <w:color w:val="000000"/>
          <w:sz w:val="32"/>
          <w:szCs w:val="32"/>
        </w:rPr>
        <w:t> tobacco</w:t>
      </w:r>
      <w:r>
        <w:rPr>
          <w:b/>
          <w:bCs/>
          <w:color w:val="000000"/>
          <w:sz w:val="32"/>
          <w:szCs w:val="32"/>
        </w:rPr>
        <w:t xml:space="preserve"> cultivars</w:t>
      </w:r>
    </w:p>
    <w:p w:rsidR="007F6C60" w:rsidRDefault="007F6C60" w:rsidP="007F6C60">
      <w:pPr>
        <w:pStyle w:val="NormalWeb"/>
        <w:spacing w:before="0" w:beforeAutospacing="0" w:after="0" w:afterAutospacing="0"/>
        <w:ind w:left="488" w:right="893"/>
        <w:jc w:val="both"/>
        <w:rPr>
          <w:b/>
          <w:bCs/>
          <w:color w:val="000000"/>
        </w:rPr>
      </w:pPr>
    </w:p>
    <w:p w:rsidR="007F6C60" w:rsidRDefault="007F6C60" w:rsidP="007F6C60">
      <w:pPr>
        <w:pStyle w:val="NormalWeb"/>
        <w:spacing w:before="0" w:beforeAutospacing="0" w:after="0" w:afterAutospacing="0"/>
        <w:ind w:left="488" w:right="893"/>
        <w:jc w:val="both"/>
        <w:rPr>
          <w:b/>
          <w:bCs/>
          <w:color w:val="000000"/>
        </w:rPr>
      </w:pPr>
      <w:r>
        <w:rPr>
          <w:b/>
          <w:bCs/>
          <w:color w:val="000000"/>
        </w:rPr>
        <w:t>Praise Tinyiko Chirilele</w:t>
      </w:r>
    </w:p>
    <w:p w:rsidR="00757B46" w:rsidRDefault="007F6C60" w:rsidP="007F6C60">
      <w:pPr>
        <w:pStyle w:val="NormalWeb"/>
        <w:spacing w:before="0" w:beforeAutospacing="0" w:after="0" w:afterAutospacing="0"/>
        <w:ind w:left="488" w:right="893"/>
        <w:jc w:val="both"/>
        <w:rPr>
          <w:b/>
          <w:bCs/>
          <w:color w:val="000000"/>
        </w:rPr>
      </w:pPr>
      <w:r>
        <w:rPr>
          <w:b/>
          <w:bCs/>
          <w:color w:val="000000"/>
        </w:rPr>
        <w:t>National Biotechnology Authority</w:t>
      </w:r>
    </w:p>
    <w:p w:rsidR="007F6C60" w:rsidRDefault="007F6C60" w:rsidP="007F6C60">
      <w:pPr>
        <w:pStyle w:val="NormalWeb"/>
        <w:spacing w:before="0" w:beforeAutospacing="0" w:after="0" w:afterAutospacing="0"/>
        <w:ind w:left="488" w:right="893"/>
        <w:jc w:val="both"/>
        <w:rPr>
          <w:b/>
          <w:bCs/>
          <w:color w:val="000000"/>
        </w:rPr>
      </w:pPr>
    </w:p>
    <w:p w:rsidR="007F6C60" w:rsidRPr="007F6C60" w:rsidRDefault="007F6C60" w:rsidP="007F6C60">
      <w:pPr>
        <w:pStyle w:val="NormalWeb"/>
        <w:spacing w:before="0" w:beforeAutospacing="0" w:after="0" w:afterAutospacing="0"/>
        <w:ind w:left="488" w:right="893"/>
        <w:jc w:val="both"/>
        <w:rPr>
          <w:b/>
          <w:bCs/>
          <w:color w:val="000000"/>
        </w:rPr>
      </w:pPr>
    </w:p>
    <w:p w:rsidR="00757B46" w:rsidRPr="00DA0E44" w:rsidRDefault="00757B46" w:rsidP="00DA0E44">
      <w:pPr>
        <w:pStyle w:val="NormalWeb"/>
        <w:spacing w:before="0" w:beforeAutospacing="0" w:after="0" w:afterAutospacing="0"/>
        <w:ind w:left="466"/>
        <w:jc w:val="both"/>
      </w:pPr>
      <w:r w:rsidRPr="00DA0E44">
        <w:rPr>
          <w:b/>
          <w:bCs/>
          <w:color w:val="000000"/>
        </w:rPr>
        <w:t>ABSTRACT </w:t>
      </w:r>
    </w:p>
    <w:p w:rsidR="00757B46" w:rsidRPr="00DA0E44" w:rsidRDefault="00757B46" w:rsidP="00DA0E44">
      <w:pPr>
        <w:pStyle w:val="NormalWeb"/>
        <w:spacing w:before="277" w:beforeAutospacing="0" w:after="0" w:afterAutospacing="0" w:line="276" w:lineRule="auto"/>
        <w:ind w:left="464" w:right="896" w:firstLine="62"/>
        <w:jc w:val="both"/>
      </w:pPr>
      <w:r w:rsidRPr="00DA0E44">
        <w:rPr>
          <w:color w:val="000000"/>
        </w:rPr>
        <w:t>Ability to characterize plant cultivars is essential in hybrid proving, marker assisted selection in  plant breeding, and authentication of food which is prone to adulteration. The importance of</w:t>
      </w:r>
      <w:r w:rsidR="001A0E7C" w:rsidRPr="00DA0E44">
        <w:rPr>
          <w:color w:val="000000"/>
        </w:rPr>
        <w:t> cultivar</w:t>
      </w:r>
      <w:r w:rsidRPr="00DA0E44">
        <w:rPr>
          <w:color w:val="000000"/>
        </w:rPr>
        <w:t xml:space="preserve"> identification extends to forensic </w:t>
      </w:r>
      <w:r w:rsidR="001A0E7C" w:rsidRPr="00DA0E44">
        <w:rPr>
          <w:color w:val="000000"/>
        </w:rPr>
        <w:t>casework, which</w:t>
      </w:r>
      <w:r w:rsidRPr="00DA0E44">
        <w:rPr>
          <w:color w:val="000000"/>
        </w:rPr>
        <w:t xml:space="preserve"> involves investigations on breeder rights</w:t>
      </w:r>
      <w:r w:rsidR="001A0E7C" w:rsidRPr="00DA0E44">
        <w:rPr>
          <w:color w:val="000000"/>
        </w:rPr>
        <w:t> infringement</w:t>
      </w:r>
      <w:r w:rsidRPr="00DA0E44">
        <w:rPr>
          <w:color w:val="000000"/>
        </w:rPr>
        <w:t xml:space="preserve"> and produce theft. Various methods have been employed in cultivar identification;</w:t>
      </w:r>
      <w:r w:rsidR="001A0E7C" w:rsidRPr="00DA0E44">
        <w:rPr>
          <w:color w:val="000000"/>
        </w:rPr>
        <w:t> including</w:t>
      </w:r>
      <w:r w:rsidRPr="00DA0E44">
        <w:rPr>
          <w:color w:val="000000"/>
        </w:rPr>
        <w:t xml:space="preserve"> morphological </w:t>
      </w:r>
      <w:r w:rsidR="001A0E7C" w:rsidRPr="00DA0E44">
        <w:rPr>
          <w:color w:val="000000"/>
        </w:rPr>
        <w:t>methods, chemical methods,</w:t>
      </w:r>
      <w:r w:rsidRPr="00DA0E44">
        <w:rPr>
          <w:color w:val="000000"/>
        </w:rPr>
        <w:t xml:space="preserve"> and molecular methods. This study was</w:t>
      </w:r>
      <w:r w:rsidR="001A0E7C" w:rsidRPr="00DA0E44">
        <w:rPr>
          <w:color w:val="000000"/>
        </w:rPr>
        <w:t> carried</w:t>
      </w:r>
      <w:r w:rsidRPr="00DA0E44">
        <w:rPr>
          <w:color w:val="000000"/>
        </w:rPr>
        <w:t xml:space="preserve"> out as a preliminary research on the use of the Internal Transcribed Spacer (ITS) region as</w:t>
      </w:r>
      <w:r w:rsidR="001A0E7C" w:rsidRPr="00DA0E44">
        <w:rPr>
          <w:color w:val="000000"/>
        </w:rPr>
        <w:t> a</w:t>
      </w:r>
      <w:r w:rsidRPr="00DA0E44">
        <w:rPr>
          <w:color w:val="000000"/>
        </w:rPr>
        <w:t xml:space="preserve"> potential DNA barcode marker in the identification and discrimination of Kutsaga tobacco</w:t>
      </w:r>
      <w:r w:rsidR="001A0E7C" w:rsidRPr="00DA0E44">
        <w:rPr>
          <w:color w:val="000000"/>
        </w:rPr>
        <w:t> cultivars</w:t>
      </w:r>
      <w:r w:rsidRPr="00DA0E44">
        <w:rPr>
          <w:color w:val="000000"/>
        </w:rPr>
        <w:t>. The overall goal of this study was to develop an accurate, reliable and rapid method that</w:t>
      </w:r>
      <w:r w:rsidR="001A0E7C" w:rsidRPr="00DA0E44">
        <w:rPr>
          <w:color w:val="000000"/>
        </w:rPr>
        <w:t> can</w:t>
      </w:r>
      <w:r w:rsidRPr="00DA0E44">
        <w:rPr>
          <w:color w:val="000000"/>
        </w:rPr>
        <w:t xml:space="preserve"> used to identify tobacco cultivars also applicable in forensic botany. Seeds for four tobacco</w:t>
      </w:r>
      <w:r w:rsidR="001A0E7C" w:rsidRPr="00DA0E44">
        <w:rPr>
          <w:color w:val="000000"/>
        </w:rPr>
        <w:t> cultivars</w:t>
      </w:r>
      <w:r w:rsidRPr="00DA0E44">
        <w:rPr>
          <w:color w:val="000000"/>
        </w:rPr>
        <w:t>; K26R, KRK66, T74, T72 and a Japanese cultivar Koufan were collected from the Plant</w:t>
      </w:r>
      <w:r w:rsidR="001A0E7C" w:rsidRPr="00DA0E44">
        <w:rPr>
          <w:color w:val="000000"/>
        </w:rPr>
        <w:t> Breeding</w:t>
      </w:r>
      <w:r w:rsidRPr="00DA0E44">
        <w:rPr>
          <w:color w:val="000000"/>
        </w:rPr>
        <w:t xml:space="preserve"> department at Kutsaga Research Station. These seeds were grown in as sterile</w:t>
      </w:r>
      <w:r w:rsidR="001A0E7C" w:rsidRPr="00DA0E44">
        <w:rPr>
          <w:color w:val="000000"/>
        </w:rPr>
        <w:t> environment</w:t>
      </w:r>
      <w:r w:rsidRPr="00DA0E44">
        <w:rPr>
          <w:color w:val="000000"/>
        </w:rPr>
        <w:t xml:space="preserve"> in tissue culture condition for four weeks. Tobacco leaf samples were randomly</w:t>
      </w:r>
      <w:r w:rsidR="001A0E7C" w:rsidRPr="00DA0E44">
        <w:rPr>
          <w:color w:val="000000"/>
        </w:rPr>
        <w:t> collected</w:t>
      </w:r>
      <w:r w:rsidRPr="00DA0E44">
        <w:rPr>
          <w:color w:val="000000"/>
        </w:rPr>
        <w:t xml:space="preserve"> for each tobacco cultivar for DNA extraction. The modified CTAB method was used to</w:t>
      </w:r>
      <w:r w:rsidR="001A0E7C" w:rsidRPr="00DA0E44">
        <w:rPr>
          <w:color w:val="000000"/>
        </w:rPr>
        <w:t> extract</w:t>
      </w:r>
      <w:r w:rsidRPr="00DA0E44">
        <w:rPr>
          <w:color w:val="000000"/>
        </w:rPr>
        <w:t xml:space="preserve"> genomic DNA from the tobacco leaves. Two polymerase chain reaction trials for the reproducibility test were performed using five DNA fingerprinting primers; URP17 R, URP4,</w:t>
      </w:r>
      <w:r w:rsidR="001A0E7C" w:rsidRPr="00DA0E44">
        <w:rPr>
          <w:color w:val="000000"/>
        </w:rPr>
        <w:t> SSR1</w:t>
      </w:r>
      <w:r w:rsidRPr="00DA0E44">
        <w:rPr>
          <w:color w:val="000000"/>
        </w:rPr>
        <w:t>, TobRAPD1, TobRAPD2. A polymerase chain reaction (PCR) reaction was performed for</w:t>
      </w:r>
      <w:r w:rsidR="001A0E7C" w:rsidRPr="00DA0E44">
        <w:rPr>
          <w:color w:val="000000"/>
        </w:rPr>
        <w:t> the</w:t>
      </w:r>
      <w:r w:rsidRPr="00DA0E44">
        <w:rPr>
          <w:color w:val="000000"/>
        </w:rPr>
        <w:t xml:space="preserve"> marker efficiency test using three primers; URP17 R, SSR1, and TobRAPD2. All profile bands</w:t>
      </w:r>
      <w:r w:rsidR="001A0E7C" w:rsidRPr="00DA0E44">
        <w:rPr>
          <w:color w:val="000000"/>
        </w:rPr>
        <w:t> were</w:t>
      </w:r>
      <w:r w:rsidRPr="00DA0E44">
        <w:rPr>
          <w:color w:val="000000"/>
        </w:rPr>
        <w:t xml:space="preserve"> scored and recorded after gel electrophoresis. The ITS region in gDNA was amplified by a</w:t>
      </w:r>
      <w:r w:rsidR="001A0E7C" w:rsidRPr="00DA0E44">
        <w:rPr>
          <w:color w:val="000000"/>
        </w:rPr>
        <w:t> thermocycler</w:t>
      </w:r>
      <w:r w:rsidRPr="00DA0E44">
        <w:rPr>
          <w:color w:val="000000"/>
        </w:rPr>
        <w:t xml:space="preserve"> using the ITS 1 forward primer and ITS 4-reverse primer. The ITS DNA amplicons</w:t>
      </w:r>
      <w:r w:rsidR="001A0E7C" w:rsidRPr="00DA0E44">
        <w:rPr>
          <w:color w:val="000000"/>
        </w:rPr>
        <w:t> were</w:t>
      </w:r>
      <w:r w:rsidRPr="00DA0E44">
        <w:rPr>
          <w:color w:val="000000"/>
        </w:rPr>
        <w:t xml:space="preserve"> then sequenced using SeqStudio genetic analyzer. Five sequences were obtained, and then</w:t>
      </w:r>
      <w:r w:rsidR="001A0E7C" w:rsidRPr="00DA0E44">
        <w:rPr>
          <w:color w:val="000000"/>
        </w:rPr>
        <w:t> edited</w:t>
      </w:r>
      <w:r w:rsidRPr="00DA0E44">
        <w:rPr>
          <w:color w:val="000000"/>
        </w:rPr>
        <w:t xml:space="preserve"> using BioEdit. Multiple Sequence Alignment was performed or the five sequences using</w:t>
      </w:r>
      <w:r w:rsidR="001A0E7C" w:rsidRPr="00DA0E44">
        <w:rPr>
          <w:color w:val="000000"/>
        </w:rPr>
        <w:t> MEGA</w:t>
      </w:r>
      <w:r w:rsidRPr="00DA0E44">
        <w:rPr>
          <w:color w:val="000000"/>
        </w:rPr>
        <w:t xml:space="preserve"> X. The ITS sequence was analyzed in MEGA X employing; the Unweighted Pair Group  Method with Arithmetic Mean (UPGMA), Neighbor-joining tree, Maximum parsimony tree and  the pairwise genetic distance was computations. An NCBI blast search was performed to confirm  the trustworthiness of the ITS sequences obtained. The molecular marker reproducibility test</w:t>
      </w:r>
      <w:r w:rsidR="001A0E7C" w:rsidRPr="00DA0E44">
        <w:rPr>
          <w:color w:val="000000"/>
        </w:rPr>
        <w:t> revealed</w:t>
      </w:r>
      <w:r w:rsidRPr="00DA0E44">
        <w:rPr>
          <w:color w:val="000000"/>
        </w:rPr>
        <w:t xml:space="preserve"> that URP primers and TobRAPD primers lacked reproducibility of results whilst the SSR</w:t>
      </w:r>
      <w:r w:rsidR="001A0E7C" w:rsidRPr="00DA0E44">
        <w:rPr>
          <w:color w:val="000000"/>
        </w:rPr>
        <w:t> primer</w:t>
      </w:r>
      <w:r w:rsidRPr="00DA0E44">
        <w:rPr>
          <w:color w:val="000000"/>
        </w:rPr>
        <w:t xml:space="preserve"> exhibited a level of reproducibility. The molecular marker efficiency test revealed that  URPs have </w:t>
      </w:r>
      <w:r w:rsidRPr="00DA0E44">
        <w:rPr>
          <w:color w:val="000000"/>
        </w:rPr>
        <w:lastRenderedPageBreak/>
        <w:t>more discrimination power than RAPD marker and that SSR had no discrimination</w:t>
      </w:r>
      <w:r w:rsidR="001A0E7C" w:rsidRPr="00DA0E44">
        <w:rPr>
          <w:color w:val="000000"/>
        </w:rPr>
        <w:t> power</w:t>
      </w:r>
      <w:r w:rsidRPr="00DA0E44">
        <w:rPr>
          <w:color w:val="000000"/>
        </w:rPr>
        <w:t>. </w:t>
      </w:r>
    </w:p>
    <w:p w:rsidR="00757B46" w:rsidRPr="00DA0E44" w:rsidRDefault="00757B46" w:rsidP="00DA0E44">
      <w:pPr>
        <w:pStyle w:val="NormalWeb"/>
        <w:spacing w:before="570" w:beforeAutospacing="0" w:after="0" w:afterAutospacing="0" w:line="276" w:lineRule="auto"/>
        <w:ind w:left="5107"/>
        <w:jc w:val="both"/>
      </w:pPr>
    </w:p>
    <w:p w:rsidR="00757B46" w:rsidRPr="00DA0E44" w:rsidRDefault="00757B46" w:rsidP="00DA0E44">
      <w:pPr>
        <w:pStyle w:val="NormalWeb"/>
        <w:spacing w:before="0" w:beforeAutospacing="0" w:after="0" w:afterAutospacing="0" w:line="276" w:lineRule="auto"/>
        <w:ind w:left="463" w:right="897" w:firstLine="4"/>
        <w:jc w:val="both"/>
      </w:pPr>
      <w:r w:rsidRPr="00DA0E44">
        <w:rPr>
          <w:color w:val="000000"/>
        </w:rPr>
        <w:t>ITS region sequencing yielded 723 bp sequences with 34 conserved sites, 381 variable site, 349</w:t>
      </w:r>
      <w:r w:rsidR="001A0E7C" w:rsidRPr="00DA0E44">
        <w:rPr>
          <w:color w:val="000000"/>
        </w:rPr>
        <w:t> Parsimony</w:t>
      </w:r>
      <w:r w:rsidRPr="00DA0E44">
        <w:rPr>
          <w:color w:val="000000"/>
        </w:rPr>
        <w:t xml:space="preserve"> </w:t>
      </w:r>
      <w:proofErr w:type="spellStart"/>
      <w:r w:rsidRPr="00DA0E44">
        <w:rPr>
          <w:color w:val="000000"/>
        </w:rPr>
        <w:t>informativenes</w:t>
      </w:r>
      <w:proofErr w:type="spellEnd"/>
      <w:r w:rsidRPr="00DA0E44">
        <w:rPr>
          <w:color w:val="000000"/>
        </w:rPr>
        <w:t xml:space="preserve"> sites and 29 singleton sites. BLAST hits revealed that the tobacco</w:t>
      </w:r>
      <w:r w:rsidR="001A0E7C" w:rsidRPr="00DA0E44">
        <w:rPr>
          <w:color w:val="000000"/>
        </w:rPr>
        <w:t> varieties</w:t>
      </w:r>
      <w:r w:rsidRPr="00DA0E44">
        <w:rPr>
          <w:color w:val="000000"/>
        </w:rPr>
        <w:t xml:space="preserve"> have high sequence identity matches with Nicotiana tabacum voucher SBB-0480 partial  ITS sequence. It was concluded that the ITS was able to discriminate the three tobacco cultivars</w:t>
      </w:r>
      <w:r w:rsidR="001A0E7C" w:rsidRPr="00DA0E44">
        <w:rPr>
          <w:color w:val="000000"/>
        </w:rPr>
        <w:t> based</w:t>
      </w:r>
      <w:r w:rsidRPr="00DA0E44">
        <w:rPr>
          <w:color w:val="000000"/>
        </w:rPr>
        <w:t xml:space="preserve"> on their sequence dissimilarity. KRK66 could not be distinguished from Koufan because</w:t>
      </w:r>
      <w:r w:rsidR="001A0E7C" w:rsidRPr="00DA0E44">
        <w:rPr>
          <w:color w:val="000000"/>
        </w:rPr>
        <w:t> they</w:t>
      </w:r>
      <w:r w:rsidRPr="00DA0E44">
        <w:rPr>
          <w:color w:val="000000"/>
        </w:rPr>
        <w:t xml:space="preserve"> shared 100% sequence similarity. It was recommended that more research be done to perfect</w:t>
      </w:r>
      <w:r w:rsidR="001A0E7C" w:rsidRPr="00DA0E44">
        <w:rPr>
          <w:color w:val="000000"/>
        </w:rPr>
        <w:t> this</w:t>
      </w:r>
      <w:r w:rsidRPr="00DA0E44">
        <w:rPr>
          <w:color w:val="000000"/>
        </w:rPr>
        <w:t xml:space="preserve"> method and trace parental lineages.</w:t>
      </w:r>
    </w:p>
    <w:p w:rsidR="00757B46" w:rsidRPr="00DA0E44" w:rsidRDefault="00757B46" w:rsidP="00DA0E44">
      <w:pPr>
        <w:jc w:val="both"/>
        <w:rPr>
          <w:rFonts w:ascii="Times New Roman" w:hAnsi="Times New Roman" w:cs="Times New Roman"/>
          <w:sz w:val="24"/>
          <w:szCs w:val="24"/>
        </w:rPr>
      </w:pPr>
    </w:p>
    <w:p w:rsidR="007F6C60" w:rsidRPr="00DA0E44" w:rsidRDefault="007F6C60" w:rsidP="00DA0E44">
      <w:pPr>
        <w:jc w:val="both"/>
        <w:rPr>
          <w:rFonts w:ascii="Times New Roman" w:hAnsi="Times New Roman" w:cs="Times New Roman"/>
          <w:sz w:val="24"/>
          <w:szCs w:val="24"/>
        </w:rPr>
      </w:pPr>
    </w:p>
    <w:p w:rsidR="00AB15A6" w:rsidRPr="00DA0E44" w:rsidRDefault="00AB15A6" w:rsidP="00DA0E44">
      <w:pPr>
        <w:ind w:left="462"/>
        <w:jc w:val="both"/>
        <w:rPr>
          <w:rFonts w:ascii="Times New Roman" w:hAnsi="Times New Roman" w:cs="Times New Roman"/>
          <w:b/>
          <w:sz w:val="24"/>
          <w:szCs w:val="24"/>
        </w:rPr>
      </w:pPr>
      <w:r w:rsidRPr="00DA0E44">
        <w:rPr>
          <w:rFonts w:ascii="Times New Roman" w:hAnsi="Times New Roman" w:cs="Times New Roman"/>
          <w:b/>
          <w:sz w:val="24"/>
          <w:szCs w:val="24"/>
        </w:rPr>
        <w:t xml:space="preserve">Biography </w:t>
      </w:r>
    </w:p>
    <w:p w:rsidR="00021CCD" w:rsidRPr="00DA0E44" w:rsidRDefault="00AB15A6" w:rsidP="00DA0E44">
      <w:pPr>
        <w:spacing w:line="276" w:lineRule="auto"/>
        <w:ind w:left="462"/>
        <w:jc w:val="both"/>
        <w:rPr>
          <w:rFonts w:ascii="Times New Roman" w:hAnsi="Times New Roman" w:cs="Times New Roman"/>
          <w:sz w:val="24"/>
          <w:szCs w:val="24"/>
        </w:rPr>
      </w:pPr>
      <w:r w:rsidRPr="00DA0E44">
        <w:rPr>
          <w:rFonts w:ascii="Times New Roman" w:hAnsi="Times New Roman" w:cs="Times New Roman"/>
          <w:sz w:val="24"/>
          <w:szCs w:val="24"/>
        </w:rPr>
        <w:t>Praise T. Chirilele is a young genomics technician and researcher who in her time as a student researcher worked on various research in plants. In her final year as an</w:t>
      </w:r>
      <w:r w:rsidR="00021CCD" w:rsidRPr="00DA0E44">
        <w:rPr>
          <w:rFonts w:ascii="Times New Roman" w:hAnsi="Times New Roman" w:cs="Times New Roman"/>
          <w:sz w:val="24"/>
          <w:szCs w:val="24"/>
        </w:rPr>
        <w:t xml:space="preserve"> undergraduate </w:t>
      </w:r>
      <w:r w:rsidR="000205C9" w:rsidRPr="00DA0E44">
        <w:rPr>
          <w:rFonts w:ascii="Times New Roman" w:hAnsi="Times New Roman" w:cs="Times New Roman"/>
          <w:sz w:val="24"/>
          <w:szCs w:val="24"/>
        </w:rPr>
        <w:t>student,</w:t>
      </w:r>
      <w:r w:rsidR="00021CCD" w:rsidRPr="00DA0E44">
        <w:rPr>
          <w:rFonts w:ascii="Times New Roman" w:hAnsi="Times New Roman" w:cs="Times New Roman"/>
          <w:sz w:val="24"/>
          <w:szCs w:val="24"/>
        </w:rPr>
        <w:t xml:space="preserve"> she worked on a research project entitled “Utility of the Internal Transcribed Spacer (ITS) as a potential barcode marker for the identification and discrimination of Kutsaga tobacco cultivars”. </w:t>
      </w:r>
      <w:r w:rsidR="000205C9" w:rsidRPr="00DA0E44">
        <w:rPr>
          <w:rFonts w:ascii="Times New Roman" w:hAnsi="Times New Roman" w:cs="Times New Roman"/>
          <w:sz w:val="24"/>
          <w:szCs w:val="24"/>
        </w:rPr>
        <w:t>She has also worked on chromosome doubling projects in plant variety improvement programs. Presently she is working as a junior genomics scientist for the National Biotechnology Authority. Her work entails providing Next Generation Sequencing services to plant researchers and as well as bioinformatics analysis.</w:t>
      </w:r>
    </w:p>
    <w:p w:rsidR="000205C9" w:rsidRPr="00DA0E44" w:rsidRDefault="000205C9" w:rsidP="00DA0E44">
      <w:pPr>
        <w:spacing w:line="276" w:lineRule="auto"/>
        <w:ind w:left="462"/>
        <w:jc w:val="both"/>
        <w:rPr>
          <w:rFonts w:ascii="Times New Roman" w:hAnsi="Times New Roman" w:cs="Times New Roman"/>
          <w:sz w:val="24"/>
          <w:szCs w:val="24"/>
        </w:rPr>
      </w:pPr>
    </w:p>
    <w:p w:rsidR="000205C9" w:rsidRPr="00DA0E44" w:rsidRDefault="000205C9" w:rsidP="00DA0E44">
      <w:pPr>
        <w:spacing w:line="276" w:lineRule="auto"/>
        <w:ind w:left="462"/>
        <w:jc w:val="both"/>
        <w:rPr>
          <w:rFonts w:ascii="Times New Roman" w:hAnsi="Times New Roman" w:cs="Times New Roman"/>
          <w:b/>
          <w:sz w:val="24"/>
          <w:szCs w:val="24"/>
        </w:rPr>
      </w:pPr>
      <w:r w:rsidRPr="00DA0E44">
        <w:rPr>
          <w:rFonts w:ascii="Times New Roman" w:hAnsi="Times New Roman" w:cs="Times New Roman"/>
          <w:b/>
          <w:sz w:val="24"/>
          <w:szCs w:val="24"/>
        </w:rPr>
        <w:t>About the Research Topic</w:t>
      </w:r>
    </w:p>
    <w:p w:rsidR="000205C9" w:rsidRPr="00DA0E44" w:rsidRDefault="000205C9" w:rsidP="00DA0E44">
      <w:pPr>
        <w:spacing w:line="276" w:lineRule="auto"/>
        <w:ind w:left="462"/>
        <w:jc w:val="both"/>
        <w:rPr>
          <w:rFonts w:ascii="Times New Roman" w:hAnsi="Times New Roman" w:cs="Times New Roman"/>
          <w:sz w:val="24"/>
          <w:szCs w:val="24"/>
        </w:rPr>
      </w:pPr>
      <w:r w:rsidRPr="00DA0E44">
        <w:rPr>
          <w:rFonts w:ascii="Times New Roman" w:hAnsi="Times New Roman" w:cs="Times New Roman"/>
          <w:sz w:val="24"/>
          <w:szCs w:val="24"/>
        </w:rPr>
        <w:t>The study was carried out as a preliminary research on the use of the Internal transcribed spacer (ITS) region as a DNA barcode marker that can be used in the identification and discrimination of five kutsaga cultivars. The aim of the research study was to establish an accurate and effective method for the identification of tobacco cultivars. The research study made use of molecular biology techniques, targeted DNA sequencing and bioinformatics tools</w:t>
      </w:r>
      <w:r w:rsidR="00DA0E44" w:rsidRPr="00DA0E44">
        <w:rPr>
          <w:rFonts w:ascii="Times New Roman" w:hAnsi="Times New Roman" w:cs="Times New Roman"/>
          <w:sz w:val="24"/>
          <w:szCs w:val="24"/>
        </w:rPr>
        <w:t>.</w:t>
      </w:r>
    </w:p>
    <w:p w:rsidR="00DA0E44" w:rsidRPr="00DA0E44" w:rsidRDefault="00DA0E44" w:rsidP="00DA0E44">
      <w:pPr>
        <w:spacing w:line="276" w:lineRule="auto"/>
        <w:ind w:left="462"/>
        <w:jc w:val="both"/>
        <w:rPr>
          <w:rFonts w:ascii="Times New Roman" w:hAnsi="Times New Roman" w:cs="Times New Roman"/>
          <w:b/>
          <w:sz w:val="24"/>
          <w:szCs w:val="24"/>
        </w:rPr>
      </w:pPr>
      <w:r w:rsidRPr="00DA0E44">
        <w:rPr>
          <w:rFonts w:ascii="Times New Roman" w:hAnsi="Times New Roman" w:cs="Times New Roman"/>
          <w:b/>
          <w:sz w:val="24"/>
          <w:szCs w:val="24"/>
        </w:rPr>
        <w:t>About Institution:</w:t>
      </w:r>
    </w:p>
    <w:p w:rsidR="00DA0E44" w:rsidRPr="00DA0E44" w:rsidRDefault="00DA0E44" w:rsidP="00DA0E44">
      <w:pPr>
        <w:spacing w:line="276" w:lineRule="auto"/>
        <w:ind w:left="462"/>
        <w:jc w:val="both"/>
        <w:rPr>
          <w:rFonts w:ascii="Times New Roman" w:hAnsi="Times New Roman" w:cs="Times New Roman"/>
          <w:sz w:val="24"/>
          <w:szCs w:val="24"/>
        </w:rPr>
      </w:pPr>
      <w:r w:rsidRPr="00DA0E44">
        <w:rPr>
          <w:rFonts w:ascii="Times New Roman" w:hAnsi="Times New Roman" w:cs="Times New Roman"/>
          <w:sz w:val="24"/>
          <w:szCs w:val="24"/>
        </w:rPr>
        <w:t xml:space="preserve">The Tobacco Research Board (‘TRB’) is a premier agricultural research institute reconstituted in 1950 by the Tobacco Research Act [Chapter 18:21]. However, its history dates back as far back as 1935 when its forebearer, the Tobacco Research Advisory Board was established. It had the mandate to supervise tobacco research work and provide advisory services. In 1938, the Tobacco Research Act was passed which created a statutory research institute whose function was to direct, control and carry out tobacco </w:t>
      </w:r>
      <w:r w:rsidRPr="00DA0E44">
        <w:rPr>
          <w:rFonts w:ascii="Times New Roman" w:hAnsi="Times New Roman" w:cs="Times New Roman"/>
          <w:sz w:val="24"/>
          <w:szCs w:val="24"/>
        </w:rPr>
        <w:lastRenderedPageBreak/>
        <w:t xml:space="preserve">research. However, the outbreak of WWII </w:t>
      </w:r>
      <w:bookmarkStart w:id="0" w:name="_GoBack"/>
      <w:bookmarkEnd w:id="0"/>
      <w:r w:rsidRPr="00DA0E44">
        <w:rPr>
          <w:rFonts w:ascii="Times New Roman" w:hAnsi="Times New Roman" w:cs="Times New Roman"/>
          <w:sz w:val="24"/>
          <w:szCs w:val="24"/>
        </w:rPr>
        <w:t>only a year later disrupted tobacco research in the country and after the end of the war; the Department of Agriculture retook control of tobacco research. In 1950, the second Tobacco Research Act was passed which established the current TRB.</w:t>
      </w:r>
    </w:p>
    <w:p w:rsidR="00DA0E44" w:rsidRPr="00DA0E44" w:rsidRDefault="00DA0E44" w:rsidP="00DA0E44">
      <w:pPr>
        <w:ind w:left="462"/>
        <w:jc w:val="both"/>
        <w:rPr>
          <w:rFonts w:ascii="Times New Roman" w:hAnsi="Times New Roman" w:cs="Times New Roman"/>
          <w:b/>
          <w:sz w:val="24"/>
          <w:szCs w:val="24"/>
        </w:rPr>
      </w:pPr>
      <w:r w:rsidRPr="00DA0E44">
        <w:rPr>
          <w:rFonts w:ascii="Times New Roman" w:hAnsi="Times New Roman" w:cs="Times New Roman"/>
          <w:b/>
          <w:sz w:val="24"/>
          <w:szCs w:val="24"/>
        </w:rPr>
        <w:t>References:</w:t>
      </w:r>
    </w:p>
    <w:p w:rsidR="00DA0E44" w:rsidRPr="00DA0E44" w:rsidRDefault="00DA0E44" w:rsidP="00DA0E44">
      <w:pPr>
        <w:ind w:left="462"/>
        <w:jc w:val="both"/>
        <w:rPr>
          <w:rFonts w:ascii="Times New Roman" w:hAnsi="Times New Roman" w:cs="Times New Roman"/>
          <w:sz w:val="24"/>
          <w:szCs w:val="24"/>
        </w:rPr>
      </w:pPr>
      <w:r w:rsidRPr="00DA0E44">
        <w:rPr>
          <w:rFonts w:ascii="Times New Roman" w:hAnsi="Times New Roman" w:cs="Times New Roman"/>
          <w:sz w:val="24"/>
          <w:szCs w:val="24"/>
        </w:rPr>
        <w:t xml:space="preserve">Aggarwal, R., Sharma, V., Lalit, K., Rneu. (2008). Molecular characterization of Chaetomium  species using URP-PCR. Genetics and Molecular Biology, 31, 943-946. </w:t>
      </w:r>
    </w:p>
    <w:p w:rsidR="00DA0E44" w:rsidRPr="00DA0E44" w:rsidRDefault="00DA0E44" w:rsidP="00DA0E44">
      <w:pPr>
        <w:ind w:left="462"/>
        <w:jc w:val="both"/>
        <w:rPr>
          <w:rFonts w:ascii="Times New Roman" w:hAnsi="Times New Roman" w:cs="Times New Roman"/>
          <w:sz w:val="24"/>
          <w:szCs w:val="24"/>
        </w:rPr>
      </w:pPr>
      <w:r w:rsidRPr="00DA0E44">
        <w:rPr>
          <w:rFonts w:ascii="Times New Roman" w:hAnsi="Times New Roman" w:cs="Times New Roman"/>
          <w:sz w:val="24"/>
          <w:szCs w:val="24"/>
        </w:rPr>
        <w:t xml:space="preserve">Amar, M.H., Hassan, A. H. M., El Sherbeny, E. A. M. (2012). Assessment of genetic diversity in  some wild plants o the Asteraceae family by ribosomal DNA sequence. Egypt. J. Genet. Cytol,  41,195-208. </w:t>
      </w:r>
    </w:p>
    <w:p w:rsidR="00DA0E44" w:rsidRPr="00DA0E44" w:rsidRDefault="00DA0E44" w:rsidP="00DA0E44">
      <w:pPr>
        <w:ind w:left="462"/>
        <w:jc w:val="both"/>
        <w:rPr>
          <w:rFonts w:ascii="Times New Roman" w:hAnsi="Times New Roman" w:cs="Times New Roman"/>
          <w:sz w:val="24"/>
          <w:szCs w:val="24"/>
        </w:rPr>
      </w:pPr>
      <w:r w:rsidRPr="00DA0E44">
        <w:rPr>
          <w:rFonts w:ascii="Times New Roman" w:hAnsi="Times New Roman" w:cs="Times New Roman"/>
          <w:sz w:val="24"/>
          <w:szCs w:val="24"/>
        </w:rPr>
        <w:t xml:space="preserve">Ashokan, K., Pillai, M., Angadi, S., Mundaganur, D. (2008). Sequence comparison of the  ribosomal DNA internal transcribed spacers (ITSs) and 5.8S ribosomal gene and their secondary  structures in 17 Pteriomorphian bivalves. The Internet Journal of Genomics and Proteomics, 5,1. </w:t>
      </w:r>
    </w:p>
    <w:p w:rsidR="00DA0E44" w:rsidRPr="00DA0E44" w:rsidRDefault="00DA0E44" w:rsidP="00DA0E44">
      <w:pPr>
        <w:ind w:left="462"/>
        <w:jc w:val="both"/>
        <w:rPr>
          <w:rFonts w:ascii="Times New Roman" w:hAnsi="Times New Roman" w:cs="Times New Roman"/>
          <w:sz w:val="24"/>
          <w:szCs w:val="24"/>
        </w:rPr>
      </w:pPr>
      <w:r w:rsidRPr="00DA0E44">
        <w:rPr>
          <w:rFonts w:ascii="Times New Roman" w:hAnsi="Times New Roman" w:cs="Times New Roman"/>
          <w:sz w:val="24"/>
          <w:szCs w:val="24"/>
        </w:rPr>
        <w:t xml:space="preserve">Baldwin, B.G., Sanderson, M.J., Porter, J.M., Wojciechowski, M.F.,Campbell, C.S., Donoghue,  M.J., (1995). The ITS regions of nuclear ribosomal DNA: a valuable source of evidence on  angiosperm phylogeny. Ann. Mo. Bot. Gard. 82, 247–277. </w:t>
      </w:r>
    </w:p>
    <w:p w:rsidR="00DA0E44" w:rsidRPr="00DA0E44" w:rsidRDefault="00DA0E44" w:rsidP="00DA0E44">
      <w:pPr>
        <w:ind w:left="462"/>
        <w:jc w:val="both"/>
        <w:rPr>
          <w:rFonts w:ascii="Times New Roman" w:hAnsi="Times New Roman" w:cs="Times New Roman"/>
          <w:sz w:val="24"/>
          <w:szCs w:val="24"/>
        </w:rPr>
      </w:pPr>
      <w:r w:rsidRPr="00DA0E44">
        <w:rPr>
          <w:rFonts w:ascii="Times New Roman" w:hAnsi="Times New Roman" w:cs="Times New Roman"/>
          <w:sz w:val="24"/>
          <w:szCs w:val="24"/>
        </w:rPr>
        <w:t xml:space="preserve">Barcaccia, G., Lucchin, M., Cassandro, M. (2015). DNA Barcoding as a Molecular Tool to  Track Down Mislabeling and Food Piracy. Diversity, 8. 2. 10.3390/d08010002. Batley, J., Edwards, D. (2007). SNP Applications in plants, Association mapping in plants, 95- 102 </w:t>
      </w:r>
    </w:p>
    <w:p w:rsidR="00DA0E44" w:rsidRPr="00DA0E44" w:rsidRDefault="00DA0E44" w:rsidP="00DA0E44">
      <w:pPr>
        <w:ind w:left="462"/>
        <w:jc w:val="both"/>
        <w:rPr>
          <w:rFonts w:ascii="Times New Roman" w:hAnsi="Times New Roman" w:cs="Times New Roman"/>
          <w:sz w:val="24"/>
          <w:szCs w:val="24"/>
        </w:rPr>
      </w:pPr>
      <w:r w:rsidRPr="00DA0E44">
        <w:rPr>
          <w:rFonts w:ascii="Times New Roman" w:hAnsi="Times New Roman" w:cs="Times New Roman"/>
          <w:sz w:val="24"/>
          <w:szCs w:val="24"/>
        </w:rPr>
        <w:t xml:space="preserve">Besnard, G., Breton C., Baradat, P., Khadari, B., Berville, A. (2001). Cultivar Identification in  Olive Based on RAPD Markers. J. Amer. Soc. Hort.Sci, 126(6):668-675 </w:t>
      </w:r>
    </w:p>
    <w:p w:rsidR="00DA0E44" w:rsidRPr="00DA0E44" w:rsidRDefault="00DA0E44" w:rsidP="00DA0E44">
      <w:pPr>
        <w:ind w:left="462"/>
        <w:jc w:val="both"/>
        <w:rPr>
          <w:rFonts w:ascii="Times New Roman" w:hAnsi="Times New Roman" w:cs="Times New Roman"/>
          <w:sz w:val="24"/>
          <w:szCs w:val="24"/>
        </w:rPr>
      </w:pPr>
      <w:r w:rsidRPr="00DA0E44">
        <w:rPr>
          <w:rFonts w:ascii="Times New Roman" w:hAnsi="Times New Roman" w:cs="Times New Roman"/>
          <w:sz w:val="24"/>
          <w:szCs w:val="24"/>
        </w:rPr>
        <w:t xml:space="preserve">Bhattramakki, D., Rafalski, A. (2001). Discovery and Application of Single Nucleotide  Polymorphism Markers in Plants. Plant Genotyping: The DNA Fingerprinting of Plants. Bondrea, I. O., Pamfil, S., van Tuyl, J., Dekens, F. M., Bondrea, M., Sestras, R., Rusu, A,  Lucaci, M., Patrascu, B. I,. Balteanu, V.A (2007) AFLP as a modern technique for DNA fingerprinting and identification tulipa cultivars Bulletin USAMV Animal Science and  Biotechnologies, 64, 317-319 </w:t>
      </w:r>
    </w:p>
    <w:p w:rsidR="00DA0E44" w:rsidRPr="00DA0E44" w:rsidRDefault="00DA0E44" w:rsidP="00DA0E44">
      <w:pPr>
        <w:ind w:left="462"/>
        <w:jc w:val="both"/>
        <w:rPr>
          <w:rFonts w:ascii="Times New Roman" w:hAnsi="Times New Roman" w:cs="Times New Roman"/>
          <w:sz w:val="24"/>
          <w:szCs w:val="24"/>
        </w:rPr>
      </w:pPr>
      <w:r w:rsidRPr="00DA0E44">
        <w:rPr>
          <w:rFonts w:ascii="Times New Roman" w:hAnsi="Times New Roman" w:cs="Times New Roman"/>
          <w:sz w:val="24"/>
          <w:szCs w:val="24"/>
        </w:rPr>
        <w:t xml:space="preserve">Bowers, J. E., Bandman, E. B., Meredith, C. P. (1993). DNA Fingerprint Characterization of  Some Wine Cultivars, Am J Enol Vitic. 44, 266-274  </w:t>
      </w:r>
    </w:p>
    <w:p w:rsidR="00DA0E44" w:rsidRPr="00DA0E44" w:rsidRDefault="00DA0E44" w:rsidP="00DA0E44">
      <w:pPr>
        <w:ind w:left="462"/>
        <w:jc w:val="both"/>
        <w:rPr>
          <w:rFonts w:ascii="Times New Roman" w:hAnsi="Times New Roman" w:cs="Times New Roman"/>
          <w:sz w:val="24"/>
          <w:szCs w:val="24"/>
        </w:rPr>
      </w:pPr>
      <w:r w:rsidRPr="00DA0E44">
        <w:rPr>
          <w:rFonts w:ascii="Times New Roman" w:hAnsi="Times New Roman" w:cs="Times New Roman"/>
          <w:sz w:val="24"/>
          <w:szCs w:val="24"/>
        </w:rPr>
        <w:t xml:space="preserve">Busti, A., Caceres, M. E., Calderini, O., Arcioni, S., Pupilli, F. (2014). RFLP markers for  cultivar identification in tall fescue (Festuca arundinaceaSchreb.). Genetic Resources and  ropEvoloution, 51,443-448  </w:t>
      </w:r>
    </w:p>
    <w:p w:rsidR="00DA0E44" w:rsidRPr="00DA0E44" w:rsidRDefault="00DA0E44" w:rsidP="00DA0E44">
      <w:pPr>
        <w:ind w:left="462"/>
        <w:jc w:val="both"/>
        <w:rPr>
          <w:rFonts w:ascii="Times New Roman" w:hAnsi="Times New Roman" w:cs="Times New Roman"/>
          <w:sz w:val="24"/>
          <w:szCs w:val="24"/>
        </w:rPr>
      </w:pPr>
      <w:r w:rsidRPr="00DA0E44">
        <w:rPr>
          <w:rFonts w:ascii="Times New Roman" w:hAnsi="Times New Roman" w:cs="Times New Roman"/>
          <w:sz w:val="24"/>
          <w:szCs w:val="24"/>
        </w:rPr>
        <w:t xml:space="preserve">Castro, C., Hernandez, A., Alvarado, L. and Flores, D. (2015) DNA Barcodes in Fig Cultivars </w:t>
      </w:r>
    </w:p>
    <w:p w:rsidR="00DA0E44" w:rsidRPr="00DA0E44" w:rsidRDefault="00DA0E44" w:rsidP="00DA0E44">
      <w:pPr>
        <w:ind w:left="462"/>
        <w:jc w:val="both"/>
        <w:rPr>
          <w:rFonts w:ascii="Times New Roman" w:hAnsi="Times New Roman" w:cs="Times New Roman"/>
          <w:sz w:val="24"/>
          <w:szCs w:val="24"/>
        </w:rPr>
      </w:pPr>
      <w:r w:rsidRPr="00DA0E44">
        <w:rPr>
          <w:rFonts w:ascii="Times New Roman" w:hAnsi="Times New Roman" w:cs="Times New Roman"/>
          <w:sz w:val="24"/>
          <w:szCs w:val="24"/>
        </w:rPr>
        <w:t xml:space="preserve">60 </w:t>
      </w:r>
    </w:p>
    <w:p w:rsidR="00DA0E44" w:rsidRPr="00DA0E44" w:rsidRDefault="00DA0E44" w:rsidP="00DA0E44">
      <w:pPr>
        <w:ind w:left="462"/>
        <w:jc w:val="both"/>
        <w:rPr>
          <w:rFonts w:ascii="Times New Roman" w:hAnsi="Times New Roman" w:cs="Times New Roman"/>
          <w:sz w:val="24"/>
          <w:szCs w:val="24"/>
        </w:rPr>
      </w:pPr>
      <w:r w:rsidRPr="00DA0E44">
        <w:rPr>
          <w:rFonts w:ascii="Times New Roman" w:hAnsi="Times New Roman" w:cs="Times New Roman"/>
          <w:sz w:val="24"/>
          <w:szCs w:val="24"/>
        </w:rPr>
        <w:t xml:space="preserve">(Ficuscarica L.) Using ITS Regions of Ribosomal DNA, the psbA-trnH Spacer and the matK  Coding Sequence. American Journal of Plant Sciences, 6, 95-102. </w:t>
      </w:r>
    </w:p>
    <w:p w:rsidR="00DA0E44" w:rsidRPr="00DA0E44" w:rsidRDefault="00DA0E44" w:rsidP="00DA0E44">
      <w:pPr>
        <w:ind w:left="462"/>
        <w:jc w:val="both"/>
        <w:rPr>
          <w:rFonts w:ascii="Times New Roman" w:hAnsi="Times New Roman" w:cs="Times New Roman"/>
          <w:sz w:val="24"/>
          <w:szCs w:val="24"/>
        </w:rPr>
      </w:pPr>
      <w:r w:rsidRPr="00DA0E44">
        <w:rPr>
          <w:rFonts w:ascii="Times New Roman" w:hAnsi="Times New Roman" w:cs="Times New Roman"/>
          <w:sz w:val="24"/>
          <w:szCs w:val="24"/>
        </w:rPr>
        <w:lastRenderedPageBreak/>
        <w:t xml:space="preserve">Caramante M., Corrado G., Monti L-M., Rao R. (2011). Simple sequence repeats are able to  trace tomato cultivars in tomato food chains. Food Control, 22, 549–554 </w:t>
      </w:r>
    </w:p>
    <w:p w:rsidR="00DA0E44" w:rsidRPr="00DA0E44" w:rsidRDefault="00DA0E44" w:rsidP="00DA0E44">
      <w:pPr>
        <w:ind w:left="462"/>
        <w:jc w:val="both"/>
        <w:rPr>
          <w:rFonts w:ascii="Times New Roman" w:hAnsi="Times New Roman" w:cs="Times New Roman"/>
          <w:sz w:val="24"/>
          <w:szCs w:val="24"/>
        </w:rPr>
      </w:pPr>
      <w:r w:rsidRPr="00DA0E44">
        <w:rPr>
          <w:rFonts w:ascii="Times New Roman" w:hAnsi="Times New Roman" w:cs="Times New Roman"/>
          <w:sz w:val="24"/>
          <w:szCs w:val="24"/>
        </w:rPr>
        <w:t xml:space="preserve">Castagna, R., Maga G., Perenzin M., Heun M. (1994). RFLP-based genetic relationships of  Einkorn wheats. Theor. Appl. Genet, 88, 818-823. </w:t>
      </w:r>
    </w:p>
    <w:p w:rsidR="00DA0E44" w:rsidRPr="00DA0E44" w:rsidRDefault="00DA0E44" w:rsidP="00DA0E44">
      <w:pPr>
        <w:ind w:left="462"/>
        <w:jc w:val="both"/>
        <w:rPr>
          <w:rFonts w:ascii="Times New Roman" w:hAnsi="Times New Roman" w:cs="Times New Roman"/>
          <w:sz w:val="24"/>
          <w:szCs w:val="24"/>
        </w:rPr>
      </w:pPr>
      <w:r w:rsidRPr="00DA0E44">
        <w:rPr>
          <w:rFonts w:ascii="Times New Roman" w:hAnsi="Times New Roman" w:cs="Times New Roman"/>
          <w:sz w:val="24"/>
          <w:szCs w:val="24"/>
        </w:rPr>
        <w:t xml:space="preserve">CBOL Plant Working Group. (2009). A DNA barcode for land plants. PNAS 106:12794–12797. China Plant BOL Group, Li, D. Z., Gao, L. M., Li, H. T., Wang H., Ge, X. J., Liu, J. Q, Chen,  Z.D., Zhou, S.L., Chen, S.L., Yang, J.B., Fu, C.X., Zeng, C. X., Yan, H. F., Zhu, Y. J., Sun, Y.  S., Chen, S. Y., Zhao, L., Wang, K., Yang, T., Duan, G. W. (2011) Comparative analysis of a  large dataset indicates that internal transcribed spacer (ITS) should be incorporated into the core barcode for seed plants. Proc Natl Acad Sci, U S A, 108, 19641e6 </w:t>
      </w:r>
    </w:p>
    <w:p w:rsidR="00DA0E44" w:rsidRPr="00DA0E44" w:rsidRDefault="00DA0E44" w:rsidP="00DA0E44">
      <w:pPr>
        <w:ind w:left="462"/>
        <w:jc w:val="both"/>
        <w:rPr>
          <w:rFonts w:ascii="Times New Roman" w:hAnsi="Times New Roman" w:cs="Times New Roman"/>
          <w:sz w:val="24"/>
          <w:szCs w:val="24"/>
        </w:rPr>
      </w:pPr>
      <w:r w:rsidRPr="00DA0E44">
        <w:rPr>
          <w:rFonts w:ascii="Times New Roman" w:hAnsi="Times New Roman" w:cs="Times New Roman"/>
          <w:sz w:val="24"/>
          <w:szCs w:val="24"/>
        </w:rPr>
        <w:t xml:space="preserve">Collard, B.C., Mackill, D.J. (2008). Marker-assisted selection: an approach for precision plant  breeding in the twenty-first century. Phil Trans R Soc Lond B Biol Sci, 363, 557-572.  </w:t>
      </w:r>
    </w:p>
    <w:p w:rsidR="00DA0E44" w:rsidRPr="00DA0E44" w:rsidRDefault="00DA0E44" w:rsidP="00DA0E44">
      <w:pPr>
        <w:ind w:left="462"/>
        <w:jc w:val="both"/>
        <w:rPr>
          <w:rFonts w:ascii="Times New Roman" w:hAnsi="Times New Roman" w:cs="Times New Roman"/>
          <w:sz w:val="24"/>
          <w:szCs w:val="24"/>
        </w:rPr>
      </w:pPr>
      <w:r w:rsidRPr="00DA0E44">
        <w:rPr>
          <w:rFonts w:ascii="Times New Roman" w:hAnsi="Times New Roman" w:cs="Times New Roman"/>
          <w:sz w:val="24"/>
          <w:szCs w:val="24"/>
        </w:rPr>
        <w:t xml:space="preserve">Correia. L., Faria, D., Grattapaglia, D. (2011) Comparative assessment of SNPs and  microsatellites for fingerprinting, parentage and assignment testing in species of Eucalyptus.  Retrieved 03 01 2020, from BMC Proceedings, 5: 41. Available: http://www.biomedcentral.  com/1753-6561/5/S7/P41. </w:t>
      </w:r>
    </w:p>
    <w:p w:rsidR="00DA0E44" w:rsidRPr="00DA0E44" w:rsidRDefault="00DA0E44" w:rsidP="00DA0E44">
      <w:pPr>
        <w:ind w:left="462"/>
        <w:jc w:val="both"/>
        <w:rPr>
          <w:rFonts w:ascii="Times New Roman" w:hAnsi="Times New Roman" w:cs="Times New Roman"/>
          <w:sz w:val="24"/>
          <w:szCs w:val="24"/>
        </w:rPr>
      </w:pPr>
      <w:r w:rsidRPr="00DA0E44">
        <w:rPr>
          <w:rFonts w:ascii="Times New Roman" w:hAnsi="Times New Roman" w:cs="Times New Roman"/>
          <w:sz w:val="24"/>
          <w:szCs w:val="24"/>
        </w:rPr>
        <w:t xml:space="preserve">Coyle, H.M., Lee. C.L., Lin. W.Y., Lee. H.C., Palmbach. T.M., (2005). Forensic botany:  Principles and Applications to criminal Casework, Boca Raton; CRC Press, 606-612. Daria, S., Rao, R. (2014). DNA Markers for Food Products Authentication. Diversity, 6, 579- 596; doi:10.3390/d6030579 </w:t>
      </w:r>
    </w:p>
    <w:p w:rsidR="00DA0E44" w:rsidRPr="00DA0E44" w:rsidRDefault="00DA0E44" w:rsidP="00DA0E44">
      <w:pPr>
        <w:ind w:left="462"/>
        <w:jc w:val="both"/>
        <w:rPr>
          <w:rFonts w:ascii="Times New Roman" w:hAnsi="Times New Roman" w:cs="Times New Roman"/>
          <w:sz w:val="24"/>
          <w:szCs w:val="24"/>
        </w:rPr>
      </w:pPr>
      <w:r w:rsidRPr="00DA0E44">
        <w:rPr>
          <w:rFonts w:ascii="Times New Roman" w:hAnsi="Times New Roman" w:cs="Times New Roman"/>
          <w:sz w:val="24"/>
          <w:szCs w:val="24"/>
        </w:rPr>
        <w:t>De Riek, J., Calsyn, E., Everaert, I., Van Bockstaele, E., De Loose, M. (2001). AFLP based  alternatives for the Assessment of distinctness, uniformity and stability of sugar beet varieties.  Theor. Appl. Genet, 103, 1254-1265</w:t>
      </w:r>
    </w:p>
    <w:p w:rsidR="00AB15A6" w:rsidRPr="00DA0E44" w:rsidRDefault="00AB15A6" w:rsidP="00DA0E44">
      <w:pPr>
        <w:ind w:left="462"/>
        <w:jc w:val="both"/>
        <w:rPr>
          <w:rFonts w:ascii="Times New Roman" w:hAnsi="Times New Roman" w:cs="Times New Roman"/>
          <w:sz w:val="24"/>
          <w:szCs w:val="24"/>
        </w:rPr>
      </w:pPr>
    </w:p>
    <w:sectPr w:rsidR="00AB15A6" w:rsidRPr="00DA0E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B46"/>
    <w:rsid w:val="000205C9"/>
    <w:rsid w:val="00021CCD"/>
    <w:rsid w:val="001A0E7C"/>
    <w:rsid w:val="004521BD"/>
    <w:rsid w:val="00757B46"/>
    <w:rsid w:val="007F6C60"/>
    <w:rsid w:val="00A0792F"/>
    <w:rsid w:val="00AB15A6"/>
    <w:rsid w:val="00DA0E44"/>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D276F"/>
  <w15:chartTrackingRefBased/>
  <w15:docId w15:val="{69B3CA86-7BF0-4012-A290-D085BFC9A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57B46"/>
    <w:pPr>
      <w:spacing w:before="100" w:beforeAutospacing="1" w:after="100" w:afterAutospacing="1" w:line="240" w:lineRule="auto"/>
    </w:pPr>
    <w:rPr>
      <w:rFonts w:ascii="Times New Roman" w:eastAsia="Times New Roman" w:hAnsi="Times New Roman" w:cs="Times New Roman"/>
      <w:sz w:val="24"/>
      <w:szCs w:val="24"/>
      <w:lang w:eastAsia="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8688427">
      <w:bodyDiv w:val="1"/>
      <w:marLeft w:val="0"/>
      <w:marRight w:val="0"/>
      <w:marTop w:val="0"/>
      <w:marBottom w:val="0"/>
      <w:divBdr>
        <w:top w:val="none" w:sz="0" w:space="0" w:color="auto"/>
        <w:left w:val="none" w:sz="0" w:space="0" w:color="auto"/>
        <w:bottom w:val="none" w:sz="0" w:space="0" w:color="auto"/>
        <w:right w:val="none" w:sz="0" w:space="0" w:color="auto"/>
      </w:divBdr>
    </w:div>
    <w:div w:id="1884438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135</TotalTime>
  <Pages>4</Pages>
  <Words>1445</Words>
  <Characters>8242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2023-02-08T07:58:00Z</dcterms:created>
  <dcterms:modified xsi:type="dcterms:W3CDTF">2023-02-08T10:13:00Z</dcterms:modified>
</cp:coreProperties>
</file>