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727CF" w14:textId="152F8C7A" w:rsidR="00D26C7B" w:rsidRDefault="00D26C7B" w:rsidP="00C36214">
      <w:pPr>
        <w:jc w:val="both"/>
        <w:rPr>
          <w:rFonts w:eastAsia="MS Mincho"/>
          <w:b/>
          <w:sz w:val="22"/>
          <w:szCs w:val="22"/>
          <w:u w:val="single"/>
        </w:rPr>
      </w:pPr>
    </w:p>
    <w:p w14:paraId="442EFA27" w14:textId="77777777" w:rsidR="00D26C7B" w:rsidRDefault="00D26C7B" w:rsidP="001A52CE">
      <w:pPr>
        <w:rPr>
          <w:rFonts w:eastAsia="MS Mincho"/>
          <w:b/>
          <w:sz w:val="22"/>
          <w:szCs w:val="22"/>
          <w:u w:val="single"/>
        </w:rPr>
      </w:pPr>
    </w:p>
    <w:p w14:paraId="593F8EB8" w14:textId="5E15ECCE" w:rsidR="00D26C7B" w:rsidRDefault="00D26C7B" w:rsidP="001A52CE">
      <w:pPr>
        <w:rPr>
          <w:rFonts w:eastAsia="MS Mincho"/>
          <w:b/>
          <w:sz w:val="22"/>
          <w:szCs w:val="22"/>
          <w:u w:val="single"/>
        </w:rPr>
      </w:pPr>
    </w:p>
    <w:p w14:paraId="76531FE7" w14:textId="051F61AC" w:rsidR="00D26C7B" w:rsidRDefault="00D26C7B" w:rsidP="001A52CE">
      <w:pPr>
        <w:rPr>
          <w:rFonts w:eastAsia="MS Mincho"/>
          <w:b/>
          <w:sz w:val="22"/>
          <w:szCs w:val="22"/>
          <w:u w:val="single"/>
        </w:rPr>
      </w:pPr>
    </w:p>
    <w:p w14:paraId="6DFBD2CE" w14:textId="099DA649" w:rsidR="001A52CE" w:rsidRPr="0005164C" w:rsidRDefault="00365A01" w:rsidP="001A52CE">
      <w:pPr>
        <w:rPr>
          <w:rFonts w:eastAsia="MS Mincho"/>
          <w:b/>
          <w:sz w:val="22"/>
          <w:szCs w:val="22"/>
          <w:u w:val="single"/>
        </w:rPr>
      </w:pPr>
      <w:r>
        <w:rPr>
          <w:rFonts w:eastAsia="MS Mincho"/>
          <w:b/>
          <w:sz w:val="22"/>
          <w:szCs w:val="22"/>
          <w:u w:val="single"/>
        </w:rPr>
        <w:t xml:space="preserve"> </w:t>
      </w:r>
      <w:r w:rsidR="001A52CE" w:rsidRPr="0005164C">
        <w:rPr>
          <w:rFonts w:eastAsia="MS Mincho"/>
          <w:b/>
          <w:sz w:val="22"/>
          <w:szCs w:val="22"/>
          <w:u w:val="single"/>
        </w:rPr>
        <w:t>Abstract Template</w:t>
      </w:r>
    </w:p>
    <w:p w14:paraId="70D32CA2" w14:textId="2253224A" w:rsidR="001A52CE" w:rsidRDefault="001A52CE" w:rsidP="001A52CE">
      <w:pPr>
        <w:pStyle w:val="Author"/>
        <w:rPr>
          <w:rFonts w:eastAsia="MS Mincho"/>
          <w:sz w:val="18"/>
          <w:szCs w:val="18"/>
        </w:rPr>
      </w:pPr>
    </w:p>
    <w:p w14:paraId="7064302B" w14:textId="77777777" w:rsidR="001A52CE" w:rsidRPr="0005164C" w:rsidRDefault="001A52CE" w:rsidP="001A52CE">
      <w:pPr>
        <w:pStyle w:val="Author"/>
        <w:rPr>
          <w:rFonts w:eastAsia="MS Mincho"/>
          <w:sz w:val="18"/>
          <w:szCs w:val="18"/>
        </w:rPr>
        <w:sectPr w:rsidR="001A52CE" w:rsidRPr="0005164C" w:rsidSect="00C36214">
          <w:pgSz w:w="11909" w:h="16834" w:code="9"/>
          <w:pgMar w:top="720" w:right="720" w:bottom="720" w:left="720" w:header="720" w:footer="720" w:gutter="0"/>
          <w:cols w:space="720"/>
          <w:docGrid w:linePitch="360"/>
        </w:sectPr>
      </w:pPr>
    </w:p>
    <w:p w14:paraId="7839D189" w14:textId="1F30E03A" w:rsidR="001A52CE" w:rsidRPr="00576DD0" w:rsidRDefault="001A52CE" w:rsidP="00576DD0">
      <w:pPr>
        <w:jc w:val="both"/>
        <w:rPr>
          <w:b/>
          <w:bCs/>
          <w:i/>
          <w:iCs/>
          <w:sz w:val="22"/>
          <w:szCs w:val="22"/>
        </w:rPr>
      </w:pPr>
      <w:r w:rsidRPr="009D49B8">
        <w:rPr>
          <w:rFonts w:eastAsia="MS PGothic"/>
          <w:b/>
          <w:color w:val="000000"/>
          <w:sz w:val="22"/>
          <w:szCs w:val="22"/>
        </w:rPr>
        <w:t xml:space="preserve">Title: </w:t>
      </w:r>
      <w:r w:rsidR="00FA3393" w:rsidRPr="00576DD0">
        <w:rPr>
          <w:b/>
          <w:bCs/>
          <w:sz w:val="22"/>
          <w:szCs w:val="22"/>
        </w:rPr>
        <w:t xml:space="preserve">Ozone stimulates the production of anthocyanins as a secondary antioxidant defense in </w:t>
      </w:r>
      <w:r w:rsidR="00FA3393" w:rsidRPr="00576DD0">
        <w:rPr>
          <w:b/>
          <w:bCs/>
          <w:i/>
          <w:iCs/>
          <w:sz w:val="22"/>
          <w:szCs w:val="22"/>
        </w:rPr>
        <w:t>Arabidopsis thalian</w:t>
      </w:r>
      <w:r w:rsidR="00576DD0" w:rsidRPr="00576DD0">
        <w:rPr>
          <w:b/>
          <w:bCs/>
          <w:i/>
          <w:iCs/>
          <w:sz w:val="22"/>
          <w:szCs w:val="22"/>
        </w:rPr>
        <w:t xml:space="preserve">a. </w:t>
      </w:r>
    </w:p>
    <w:p w14:paraId="232E34D0" w14:textId="49B3A048" w:rsidR="00576DD0" w:rsidRPr="00576DD0" w:rsidRDefault="00576DD0" w:rsidP="00576DD0">
      <w:pPr>
        <w:jc w:val="both"/>
        <w:rPr>
          <w:b/>
          <w:bCs/>
          <w:i/>
          <w:iCs/>
          <w:sz w:val="22"/>
          <w:szCs w:val="22"/>
        </w:rPr>
      </w:pPr>
    </w:p>
    <w:p w14:paraId="3900A1CB" w14:textId="7AC03AAB" w:rsidR="00576DD0" w:rsidRPr="00576DD0" w:rsidRDefault="00576DD0" w:rsidP="00576DD0">
      <w:pPr>
        <w:spacing w:after="160"/>
        <w:jc w:val="both"/>
        <w:rPr>
          <w:rFonts w:eastAsia="Calibri"/>
          <w:b/>
          <w:bCs/>
          <w:sz w:val="19"/>
          <w:szCs w:val="19"/>
        </w:rPr>
      </w:pPr>
      <w:r w:rsidRPr="00576DD0">
        <w:rPr>
          <w:rFonts w:eastAsia="Calibri"/>
          <w:b/>
          <w:bCs/>
          <w:sz w:val="19"/>
          <w:szCs w:val="19"/>
        </w:rPr>
        <w:t>Nimble Giri, and Dr. Thomas Sasek</w:t>
      </w:r>
    </w:p>
    <w:p w14:paraId="72339C30" w14:textId="60EC3D6E" w:rsidR="001A52CE" w:rsidRPr="00576DD0" w:rsidRDefault="00576DD0" w:rsidP="00576DD0">
      <w:pPr>
        <w:spacing w:after="160"/>
        <w:jc w:val="both"/>
        <w:rPr>
          <w:rFonts w:eastAsia="Calibri"/>
          <w:sz w:val="19"/>
          <w:szCs w:val="19"/>
        </w:rPr>
      </w:pPr>
      <w:r w:rsidRPr="00576DD0">
        <w:rPr>
          <w:rFonts w:eastAsia="Calibri"/>
          <w:sz w:val="19"/>
          <w:szCs w:val="19"/>
        </w:rPr>
        <w:t>Department of Biology, University of Louisiana at Monroe, Louisiana,</w:t>
      </w:r>
      <w:bookmarkStart w:id="0" w:name="a1"/>
      <w:bookmarkStart w:id="1" w:name="a2"/>
      <w:bookmarkStart w:id="2" w:name="_Hlk40882550"/>
      <w:bookmarkEnd w:id="0"/>
      <w:bookmarkEnd w:id="1"/>
      <w:r w:rsidRPr="00576DD0">
        <w:rPr>
          <w:rFonts w:eastAsia="Calibri"/>
          <w:sz w:val="19"/>
          <w:szCs w:val="19"/>
        </w:rPr>
        <w:t xml:space="preserve"> USA</w:t>
      </w:r>
    </w:p>
    <w:bookmarkEnd w:id="2"/>
    <w:p w14:paraId="40FBC7D6" w14:textId="197CC193" w:rsidR="001A52CE" w:rsidRPr="00576DD0" w:rsidRDefault="001A52CE" w:rsidP="001A52CE">
      <w:pPr>
        <w:rPr>
          <w:rFonts w:eastAsia="MS Mincho"/>
          <w:sz w:val="19"/>
          <w:szCs w:val="19"/>
        </w:rPr>
      </w:pPr>
    </w:p>
    <w:p w14:paraId="7EAD84CB" w14:textId="77777777" w:rsidR="001A52CE" w:rsidRPr="0005164C" w:rsidRDefault="001A52CE" w:rsidP="001A52CE">
      <w:pPr>
        <w:jc w:val="both"/>
        <w:rPr>
          <w:rFonts w:eastAsia="MS Mincho"/>
          <w:sz w:val="19"/>
          <w:szCs w:val="19"/>
        </w:rPr>
        <w:sectPr w:rsidR="001A52CE" w:rsidRPr="0005164C" w:rsidSect="006C4648">
          <w:type w:val="continuous"/>
          <w:pgSz w:w="11909" w:h="16834" w:code="9"/>
          <w:pgMar w:top="1080" w:right="734" w:bottom="2434" w:left="734" w:header="720" w:footer="720" w:gutter="0"/>
          <w:cols w:space="720"/>
          <w:docGrid w:linePitch="360"/>
        </w:sectPr>
      </w:pPr>
    </w:p>
    <w:p w14:paraId="29496243" w14:textId="63800EDA" w:rsidR="00F56619" w:rsidRPr="007C4F74" w:rsidRDefault="001A52CE" w:rsidP="00F56619">
      <w:pPr>
        <w:pStyle w:val="keywords"/>
        <w:ind w:firstLine="0"/>
        <w:rPr>
          <w:i w:val="0"/>
          <w:iCs w:val="0"/>
          <w:sz w:val="19"/>
          <w:szCs w:val="19"/>
          <w:lang w:eastAsia="en-IN"/>
        </w:rPr>
      </w:pPr>
      <w:r>
        <w:rPr>
          <w:bCs w:val="0"/>
          <w:i w:val="0"/>
          <w:iCs w:val="0"/>
          <w:noProof w:val="0"/>
          <w:sz w:val="19"/>
          <w:szCs w:val="19"/>
          <w:lang w:val="en-IN" w:eastAsia="en-IN"/>
        </w:rPr>
        <w:t xml:space="preserve">Keywords: </w:t>
      </w:r>
      <w:r w:rsidR="00576DD0" w:rsidRPr="00576DD0">
        <w:rPr>
          <w:i w:val="0"/>
          <w:iCs w:val="0"/>
          <w:sz w:val="19"/>
          <w:szCs w:val="19"/>
          <w:lang w:eastAsia="en-IN"/>
        </w:rPr>
        <w:t xml:space="preserve">Anthocyanins, Antioxidant defenses, Ozone, </w:t>
      </w:r>
      <w:r w:rsidR="00576DD0" w:rsidRPr="00576DD0">
        <w:rPr>
          <w:sz w:val="19"/>
          <w:szCs w:val="19"/>
          <w:lang w:eastAsia="en-IN"/>
        </w:rPr>
        <w:t>Arabidopsis thaliana</w:t>
      </w:r>
      <w:r w:rsidR="00576DD0" w:rsidRPr="00576DD0">
        <w:rPr>
          <w:i w:val="0"/>
          <w:iCs w:val="0"/>
          <w:sz w:val="19"/>
          <w:szCs w:val="19"/>
          <w:lang w:eastAsia="en-IN"/>
        </w:rPr>
        <w:t>, Pap-1, TT-3, Vtc-1, Blh-1, Col-1, GPA-1, and Des</w:t>
      </w:r>
      <w:r w:rsidR="00576DD0">
        <w:rPr>
          <w:i w:val="0"/>
          <w:iCs w:val="0"/>
          <w:sz w:val="19"/>
          <w:szCs w:val="19"/>
          <w:lang w:eastAsia="en-IN"/>
        </w:rPr>
        <w:t>1</w:t>
      </w:r>
    </w:p>
    <w:p w14:paraId="57E7E8C3" w14:textId="134674E4" w:rsidR="00576DD0" w:rsidRPr="00F56619" w:rsidRDefault="00F56619" w:rsidP="00F56619">
      <w:pPr>
        <w:pStyle w:val="keywords"/>
        <w:numPr>
          <w:ilvl w:val="0"/>
          <w:numId w:val="11"/>
        </w:numPr>
        <w:rPr>
          <w:bCs w:val="0"/>
          <w:i w:val="0"/>
          <w:iCs w:val="0"/>
          <w:noProof w:val="0"/>
          <w:sz w:val="19"/>
          <w:szCs w:val="19"/>
          <w:lang w:val="en-IN" w:eastAsia="en-IN"/>
        </w:rPr>
      </w:pPr>
      <w:r w:rsidRPr="00F56619">
        <w:rPr>
          <w:bCs w:val="0"/>
          <w:i w:val="0"/>
          <w:iCs w:val="0"/>
          <w:noProof w:val="0"/>
          <w:sz w:val="19"/>
          <w:szCs w:val="19"/>
          <w:lang w:val="en-IN" w:eastAsia="en-IN"/>
        </w:rPr>
        <w:t xml:space="preserve"> </w:t>
      </w:r>
      <w:r w:rsidR="001A52CE" w:rsidRPr="00F56619">
        <w:rPr>
          <w:bCs w:val="0"/>
          <w:i w:val="0"/>
          <w:iCs w:val="0"/>
          <w:noProof w:val="0"/>
          <w:sz w:val="19"/>
          <w:szCs w:val="19"/>
          <w:lang w:val="en-IN" w:eastAsia="en-IN"/>
        </w:rPr>
        <w:t>Abstract</w:t>
      </w:r>
    </w:p>
    <w:p w14:paraId="07E41124" w14:textId="08BD007D" w:rsidR="001A52CE" w:rsidRPr="00CC0026" w:rsidRDefault="001A52CE" w:rsidP="00576DD0">
      <w:pPr>
        <w:jc w:val="both"/>
        <w:rPr>
          <w:color w:val="000000" w:themeColor="text1"/>
          <w:sz w:val="19"/>
          <w:szCs w:val="19"/>
        </w:rPr>
      </w:pPr>
      <w:r w:rsidRPr="00576DD0">
        <w:rPr>
          <w:sz w:val="19"/>
          <w:szCs w:val="19"/>
          <w:lang w:val="en-IN" w:eastAsia="en-IN"/>
        </w:rPr>
        <w:t xml:space="preserve"> </w:t>
      </w:r>
      <w:r w:rsidR="00576DD0" w:rsidRPr="00576DD0">
        <w:rPr>
          <w:color w:val="000000" w:themeColor="text1"/>
          <w:sz w:val="19"/>
          <w:szCs w:val="19"/>
        </w:rPr>
        <w:t xml:space="preserve">Ozone is the major air pollutant damaging crops and other vegetation. It causes oxidative stress, resulting in increased synthesis of secondary metabolites. Anthocyanins are naturally occurring secondary metabolites that increase in concentration to fight free radicals and lower damage in leaves. </w:t>
      </w:r>
      <w:r w:rsidR="00576DD0" w:rsidRPr="00576DD0">
        <w:rPr>
          <w:i/>
          <w:iCs/>
          <w:color w:val="000000" w:themeColor="text1"/>
          <w:sz w:val="19"/>
          <w:szCs w:val="19"/>
        </w:rPr>
        <w:t>Arabidopsis thaliana</w:t>
      </w:r>
      <w:r w:rsidR="00576DD0" w:rsidRPr="00576DD0">
        <w:rPr>
          <w:color w:val="000000" w:themeColor="text1"/>
          <w:sz w:val="19"/>
          <w:szCs w:val="19"/>
        </w:rPr>
        <w:t>, a small flowering plant with short lifecycle is an ideal model organism. Three seed lines varying in anthocyanin production (TT-3, Blh-1, Pap-1) were compared to wild type Col-1. Three other lines were selected with mutations in other antioxidant defenses (Vtc-1, GPA-1, Des-1). Three- to four-week-old seedlings were exposed to 0ppb, 150ppb, 300ppb, 450ppb ozone for eight hours on three consecutive days. Anthocyanin concentrations were determined before exposure and one week after exposure. Lines with more anthocyanins were found to be more resistant as evidenced by less leaf damage. One week after exposures, the anthocyanin lines had increased anthocyanin concentrations up to 5X at 300ppb compared to 0ppb, but not as much at 450ppb. Pap-1, a transformed line that over produces anthocyanins, had the highest anthocyanin production. TT-3, a mutant with no anthocyanins, was severely damaged under 450ppb. In the lines with mutations in other antioxidant defenses, Des-1 and GPA-1 were less sensitive to ozone due to enhanced antioxidant defenses and did not increase anthocyanin concentrations much when exposed to ozone. Vtc-1, deficient in the primary antioxidant defense ascorbate, increased its anthocyanin concentrations 8X even at 150ppb, perhaps in compensation for its lack of primary defense. Results suggest that genetic engineering to enhance anthocyanins could increase crop resistance.</w:t>
      </w:r>
    </w:p>
    <w:p w14:paraId="3F14C225" w14:textId="77777777" w:rsidR="00C36214" w:rsidRDefault="00C36214" w:rsidP="001246C7">
      <w:pPr>
        <w:ind w:left="1800"/>
        <w:jc w:val="both"/>
        <w:rPr>
          <w:b/>
          <w:bCs/>
          <w:noProof/>
          <w:sz w:val="19"/>
          <w:szCs w:val="19"/>
        </w:rPr>
      </w:pPr>
    </w:p>
    <w:p w14:paraId="3835FA25" w14:textId="77777777" w:rsidR="00C36214" w:rsidRDefault="00C36214" w:rsidP="001246C7">
      <w:pPr>
        <w:ind w:left="1800"/>
        <w:jc w:val="both"/>
        <w:rPr>
          <w:b/>
          <w:bCs/>
          <w:noProof/>
          <w:sz w:val="19"/>
          <w:szCs w:val="19"/>
        </w:rPr>
      </w:pPr>
    </w:p>
    <w:p w14:paraId="53725331" w14:textId="586F12ED" w:rsidR="001A52CE" w:rsidRPr="001246C7" w:rsidRDefault="00C36214" w:rsidP="001246C7">
      <w:pPr>
        <w:ind w:left="1800"/>
        <w:jc w:val="both"/>
        <w:rPr>
          <w:b/>
          <w:sz w:val="19"/>
          <w:szCs w:val="19"/>
        </w:rPr>
      </w:pPr>
      <w:r w:rsidRPr="001246C7">
        <w:rPr>
          <w:b/>
          <w:bCs/>
          <w:noProof/>
          <w:sz w:val="19"/>
          <w:szCs w:val="19"/>
        </w:rPr>
        <w:drawing>
          <wp:anchor distT="0" distB="0" distL="114300" distR="114300" simplePos="0" relativeHeight="251660288" behindDoc="1" locked="0" layoutInCell="1" allowOverlap="1" wp14:anchorId="2D917C0E" wp14:editId="3249E8A7">
            <wp:simplePos x="0" y="0"/>
            <wp:positionH relativeFrom="column">
              <wp:posOffset>-2540</wp:posOffset>
            </wp:positionH>
            <wp:positionV relativeFrom="paragraph">
              <wp:posOffset>223520</wp:posOffset>
            </wp:positionV>
            <wp:extent cx="3069590" cy="1920875"/>
            <wp:effectExtent l="0" t="0" r="0" b="3175"/>
            <wp:wrapTight wrapText="bothSides">
              <wp:wrapPolygon edited="0">
                <wp:start x="0" y="0"/>
                <wp:lineTo x="0" y="21421"/>
                <wp:lineTo x="21448" y="21421"/>
                <wp:lineTo x="2144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69590" cy="1920875"/>
                    </a:xfrm>
                    <a:prstGeom prst="rect">
                      <a:avLst/>
                    </a:prstGeom>
                    <a:noFill/>
                    <a:ln>
                      <a:noFill/>
                    </a:ln>
                  </pic:spPr>
                </pic:pic>
              </a:graphicData>
            </a:graphic>
            <wp14:sizeRelH relativeFrom="page">
              <wp14:pctWidth>0</wp14:pctWidth>
            </wp14:sizeRelH>
            <wp14:sizeRelV relativeFrom="page">
              <wp14:pctHeight>0</wp14:pctHeight>
            </wp14:sizeRelV>
          </wp:anchor>
        </w:drawing>
      </w:r>
      <w:r w:rsidR="001246C7" w:rsidRPr="001246C7">
        <w:rPr>
          <w:b/>
          <w:bCs/>
          <w:noProof/>
          <w:sz w:val="19"/>
          <w:szCs w:val="19"/>
        </w:rPr>
        <w:t>II</w:t>
      </w:r>
      <w:r w:rsidR="001246C7">
        <w:rPr>
          <w:b/>
          <w:bCs/>
          <w:noProof/>
          <w:sz w:val="24"/>
          <w:szCs w:val="24"/>
        </w:rPr>
        <w:t>.</w:t>
      </w:r>
      <w:r w:rsidR="001A52CE" w:rsidRPr="001246C7">
        <w:rPr>
          <w:sz w:val="19"/>
          <w:szCs w:val="19"/>
          <w:lang w:val="en-IN" w:eastAsia="en-IN"/>
        </w:rPr>
        <w:t xml:space="preserve"> </w:t>
      </w:r>
      <w:r w:rsidR="001246C7">
        <w:rPr>
          <w:sz w:val="19"/>
          <w:szCs w:val="19"/>
          <w:lang w:val="en-IN" w:eastAsia="en-IN"/>
        </w:rPr>
        <w:t xml:space="preserve"> </w:t>
      </w:r>
      <w:r w:rsidR="001A52CE" w:rsidRPr="001246C7">
        <w:rPr>
          <w:b/>
          <w:sz w:val="19"/>
          <w:szCs w:val="19"/>
        </w:rPr>
        <w:t>Image:</w:t>
      </w:r>
    </w:p>
    <w:p w14:paraId="63EE52B8" w14:textId="06D4C5C8" w:rsidR="001A52CE" w:rsidRPr="0005164C" w:rsidRDefault="001A52CE" w:rsidP="001A52CE">
      <w:pPr>
        <w:rPr>
          <w:sz w:val="19"/>
          <w:szCs w:val="19"/>
        </w:rPr>
      </w:pPr>
    </w:p>
    <w:p w14:paraId="48E84777" w14:textId="1400C10D" w:rsidR="001A52CE" w:rsidRPr="0005164C" w:rsidRDefault="001A52CE" w:rsidP="001A52CE">
      <w:pPr>
        <w:pStyle w:val="BodyText"/>
        <w:ind w:firstLine="0"/>
        <w:rPr>
          <w:sz w:val="19"/>
          <w:szCs w:val="19"/>
        </w:rPr>
      </w:pPr>
    </w:p>
    <w:p w14:paraId="120A8C48" w14:textId="40C0338E" w:rsidR="001A52CE" w:rsidRPr="0005164C" w:rsidRDefault="001A52CE" w:rsidP="001A52CE">
      <w:pPr>
        <w:pStyle w:val="BodyText"/>
        <w:jc w:val="left"/>
        <w:rPr>
          <w:sz w:val="19"/>
          <w:szCs w:val="19"/>
        </w:rPr>
      </w:pPr>
    </w:p>
    <w:p w14:paraId="39B456C9" w14:textId="77777777" w:rsidR="001A52CE" w:rsidRPr="0005164C" w:rsidRDefault="001A52CE" w:rsidP="001246C7">
      <w:pPr>
        <w:pStyle w:val="BodyText"/>
        <w:numPr>
          <w:ilvl w:val="0"/>
          <w:numId w:val="11"/>
        </w:numPr>
        <w:jc w:val="left"/>
        <w:rPr>
          <w:b/>
          <w:sz w:val="19"/>
          <w:szCs w:val="19"/>
        </w:rPr>
      </w:pPr>
      <w:r w:rsidRPr="0005164C">
        <w:rPr>
          <w:b/>
          <w:sz w:val="19"/>
          <w:szCs w:val="19"/>
        </w:rPr>
        <w:t>Reference:</w:t>
      </w:r>
    </w:p>
    <w:p w14:paraId="518FA104" w14:textId="77777777" w:rsidR="001246C7" w:rsidRPr="001246C7" w:rsidRDefault="001246C7" w:rsidP="001246C7">
      <w:pPr>
        <w:pStyle w:val="ListParagraph"/>
        <w:numPr>
          <w:ilvl w:val="0"/>
          <w:numId w:val="12"/>
        </w:numPr>
        <w:spacing w:line="240" w:lineRule="auto"/>
        <w:ind w:left="720"/>
        <w:jc w:val="both"/>
        <w:rPr>
          <w:rFonts w:ascii="Times New Roman" w:hAnsi="Times New Roman" w:cs="Times New Roman"/>
          <w:sz w:val="19"/>
          <w:szCs w:val="19"/>
        </w:rPr>
      </w:pPr>
      <w:bookmarkStart w:id="3" w:name="2"/>
      <w:bookmarkEnd w:id="3"/>
      <w:r w:rsidRPr="001246C7">
        <w:rPr>
          <w:rFonts w:ascii="Times New Roman" w:hAnsi="Times New Roman" w:cs="Times New Roman"/>
          <w:sz w:val="19"/>
          <w:szCs w:val="19"/>
        </w:rPr>
        <w:t xml:space="preserve">Weigel, D., et. al. 2000. Activation tagging in </w:t>
      </w:r>
      <w:r w:rsidRPr="001246C7">
        <w:rPr>
          <w:rFonts w:ascii="Times New Roman" w:hAnsi="Times New Roman" w:cs="Times New Roman"/>
          <w:i/>
          <w:iCs/>
          <w:sz w:val="19"/>
          <w:szCs w:val="19"/>
        </w:rPr>
        <w:t>Arabidopsis</w:t>
      </w:r>
      <w:r w:rsidRPr="001246C7">
        <w:rPr>
          <w:rFonts w:ascii="Times New Roman" w:hAnsi="Times New Roman" w:cs="Times New Roman"/>
          <w:sz w:val="19"/>
          <w:szCs w:val="19"/>
        </w:rPr>
        <w:t>. Plant Physiol. 122, 1003-1014.</w:t>
      </w:r>
    </w:p>
    <w:p w14:paraId="0E20EEA6" w14:textId="77777777" w:rsidR="001246C7" w:rsidRPr="001246C7" w:rsidRDefault="001246C7" w:rsidP="001246C7">
      <w:pPr>
        <w:pStyle w:val="ListParagraph"/>
        <w:numPr>
          <w:ilvl w:val="0"/>
          <w:numId w:val="12"/>
        </w:numPr>
        <w:spacing w:line="240" w:lineRule="auto"/>
        <w:ind w:left="720"/>
        <w:jc w:val="both"/>
        <w:rPr>
          <w:rFonts w:ascii="Times New Roman" w:hAnsi="Times New Roman" w:cs="Times New Roman"/>
          <w:sz w:val="19"/>
          <w:szCs w:val="19"/>
        </w:rPr>
      </w:pPr>
      <w:proofErr w:type="spellStart"/>
      <w:r w:rsidRPr="001246C7">
        <w:rPr>
          <w:rFonts w:ascii="Times New Roman" w:hAnsi="Times New Roman" w:cs="Times New Roman"/>
          <w:sz w:val="19"/>
          <w:szCs w:val="19"/>
        </w:rPr>
        <w:t>Borevitz</w:t>
      </w:r>
      <w:proofErr w:type="spellEnd"/>
      <w:r w:rsidRPr="001246C7">
        <w:rPr>
          <w:rFonts w:ascii="Times New Roman" w:hAnsi="Times New Roman" w:cs="Times New Roman"/>
          <w:sz w:val="19"/>
          <w:szCs w:val="19"/>
        </w:rPr>
        <w:t>, J., et. al. 2000. Activation tagging identifies a conserved MYB regulator of phenylpropanoid biosynthesis. The Plant Cell. Vol. 12, 2383-2393.</w:t>
      </w:r>
    </w:p>
    <w:p w14:paraId="207001C4" w14:textId="77777777" w:rsidR="001246C7" w:rsidRPr="001246C7" w:rsidRDefault="001246C7" w:rsidP="001246C7">
      <w:pPr>
        <w:pStyle w:val="ListParagraph"/>
        <w:numPr>
          <w:ilvl w:val="0"/>
          <w:numId w:val="12"/>
        </w:numPr>
        <w:spacing w:line="240" w:lineRule="auto"/>
        <w:ind w:left="720"/>
        <w:jc w:val="both"/>
        <w:rPr>
          <w:rFonts w:ascii="Times New Roman" w:hAnsi="Times New Roman" w:cs="Times New Roman"/>
          <w:sz w:val="19"/>
          <w:szCs w:val="19"/>
        </w:rPr>
      </w:pPr>
      <w:r w:rsidRPr="001246C7">
        <w:rPr>
          <w:rFonts w:ascii="Times New Roman" w:hAnsi="Times New Roman" w:cs="Times New Roman"/>
          <w:sz w:val="19"/>
          <w:szCs w:val="19"/>
        </w:rPr>
        <w:t xml:space="preserve">Conklin, L. et al. 1996. Environmental stress sensitivity of an ascorbic acid-deficient </w:t>
      </w:r>
      <w:r w:rsidRPr="001246C7">
        <w:rPr>
          <w:rFonts w:ascii="Times New Roman" w:hAnsi="Times New Roman" w:cs="Times New Roman"/>
          <w:i/>
          <w:iCs/>
          <w:sz w:val="19"/>
          <w:szCs w:val="19"/>
        </w:rPr>
        <w:t>Arabidopsis</w:t>
      </w:r>
      <w:r w:rsidRPr="001246C7">
        <w:rPr>
          <w:rFonts w:ascii="Times New Roman" w:hAnsi="Times New Roman" w:cs="Times New Roman"/>
          <w:sz w:val="19"/>
          <w:szCs w:val="19"/>
        </w:rPr>
        <w:t xml:space="preserve"> mutant. Plant Biology. Vol. 93, pp. 9970- 9974.</w:t>
      </w:r>
    </w:p>
    <w:p w14:paraId="21CEA09B" w14:textId="77777777" w:rsidR="001246C7" w:rsidRPr="001246C7" w:rsidRDefault="001246C7" w:rsidP="001246C7">
      <w:pPr>
        <w:pStyle w:val="ListParagraph"/>
        <w:numPr>
          <w:ilvl w:val="0"/>
          <w:numId w:val="12"/>
        </w:numPr>
        <w:spacing w:line="240" w:lineRule="auto"/>
        <w:ind w:left="720"/>
        <w:jc w:val="both"/>
        <w:rPr>
          <w:rFonts w:ascii="Times New Roman" w:hAnsi="Times New Roman" w:cs="Times New Roman"/>
          <w:sz w:val="19"/>
          <w:szCs w:val="19"/>
        </w:rPr>
      </w:pPr>
      <w:proofErr w:type="spellStart"/>
      <w:r w:rsidRPr="001246C7">
        <w:rPr>
          <w:rFonts w:ascii="Times New Roman" w:hAnsi="Times New Roman" w:cs="Times New Roman"/>
          <w:sz w:val="19"/>
          <w:szCs w:val="19"/>
        </w:rPr>
        <w:t>Joo</w:t>
      </w:r>
      <w:proofErr w:type="spellEnd"/>
      <w:r w:rsidRPr="001246C7">
        <w:rPr>
          <w:rFonts w:ascii="Times New Roman" w:hAnsi="Times New Roman" w:cs="Times New Roman"/>
          <w:sz w:val="19"/>
          <w:szCs w:val="19"/>
        </w:rPr>
        <w:t xml:space="preserve">, JH. et al. 2005. Different signaling and cell death roles of Heterotrimeric G protein (alpha) and (beta) subunits in the </w:t>
      </w:r>
      <w:r w:rsidRPr="001246C7">
        <w:rPr>
          <w:rFonts w:ascii="Times New Roman" w:hAnsi="Times New Roman" w:cs="Times New Roman"/>
          <w:i/>
          <w:iCs/>
          <w:sz w:val="19"/>
          <w:szCs w:val="19"/>
        </w:rPr>
        <w:t>Arabidopsis</w:t>
      </w:r>
      <w:r w:rsidRPr="001246C7">
        <w:rPr>
          <w:rFonts w:ascii="Times New Roman" w:hAnsi="Times New Roman" w:cs="Times New Roman"/>
          <w:sz w:val="19"/>
          <w:szCs w:val="19"/>
        </w:rPr>
        <w:t xml:space="preserve"> oxidative stress response to ozone. The Plant Cell. Vol. 17, 957-970.</w:t>
      </w:r>
    </w:p>
    <w:p w14:paraId="56723270" w14:textId="187561B7" w:rsidR="001A52CE" w:rsidRPr="001246C7" w:rsidRDefault="001246C7" w:rsidP="001246C7">
      <w:pPr>
        <w:pStyle w:val="ListParagraph"/>
        <w:numPr>
          <w:ilvl w:val="0"/>
          <w:numId w:val="12"/>
        </w:numPr>
        <w:spacing w:line="240" w:lineRule="auto"/>
        <w:ind w:left="720"/>
        <w:jc w:val="both"/>
        <w:rPr>
          <w:rFonts w:ascii="Times New Roman" w:hAnsi="Times New Roman" w:cs="Times New Roman"/>
          <w:sz w:val="19"/>
          <w:szCs w:val="19"/>
        </w:rPr>
      </w:pPr>
      <w:r w:rsidRPr="001246C7">
        <w:rPr>
          <w:rFonts w:ascii="Times New Roman" w:hAnsi="Times New Roman" w:cs="Times New Roman"/>
          <w:sz w:val="19"/>
          <w:szCs w:val="19"/>
        </w:rPr>
        <w:t>Alvarez, C. et al. 2010.</w:t>
      </w:r>
      <w:r w:rsidR="007C4F74">
        <w:rPr>
          <w:rFonts w:ascii="Times New Roman" w:hAnsi="Times New Roman" w:cs="Times New Roman"/>
          <w:sz w:val="19"/>
          <w:szCs w:val="19"/>
        </w:rPr>
        <w:t xml:space="preserve"> </w:t>
      </w:r>
      <w:proofErr w:type="gramStart"/>
      <w:r w:rsidRPr="001246C7">
        <w:rPr>
          <w:rFonts w:ascii="Times New Roman" w:hAnsi="Times New Roman" w:cs="Times New Roman"/>
          <w:sz w:val="19"/>
          <w:szCs w:val="19"/>
        </w:rPr>
        <w:t>An</w:t>
      </w:r>
      <w:proofErr w:type="gramEnd"/>
      <w:r w:rsidRPr="001246C7">
        <w:rPr>
          <w:rFonts w:ascii="Times New Roman" w:hAnsi="Times New Roman" w:cs="Times New Roman"/>
          <w:sz w:val="19"/>
          <w:szCs w:val="19"/>
        </w:rPr>
        <w:t xml:space="preserve"> 0-Acetylserine (thiol)lyase homolog with L-cysteine </w:t>
      </w:r>
      <w:proofErr w:type="spellStart"/>
      <w:r w:rsidRPr="001246C7">
        <w:rPr>
          <w:rFonts w:ascii="Times New Roman" w:hAnsi="Times New Roman" w:cs="Times New Roman"/>
          <w:sz w:val="19"/>
          <w:szCs w:val="19"/>
        </w:rPr>
        <w:t>desulfhydrase</w:t>
      </w:r>
      <w:proofErr w:type="spellEnd"/>
      <w:r w:rsidRPr="001246C7">
        <w:rPr>
          <w:rFonts w:ascii="Times New Roman" w:hAnsi="Times New Roman" w:cs="Times New Roman"/>
          <w:sz w:val="19"/>
          <w:szCs w:val="19"/>
        </w:rPr>
        <w:t xml:space="preserve"> activity regulates cysteine homeostasis in </w:t>
      </w:r>
      <w:r w:rsidRPr="001246C7">
        <w:rPr>
          <w:rFonts w:ascii="Times New Roman" w:hAnsi="Times New Roman" w:cs="Times New Roman"/>
          <w:i/>
          <w:iCs/>
          <w:sz w:val="19"/>
          <w:szCs w:val="19"/>
        </w:rPr>
        <w:t>Arabidopsis</w:t>
      </w:r>
      <w:r w:rsidRPr="001246C7">
        <w:rPr>
          <w:rFonts w:ascii="Times New Roman" w:hAnsi="Times New Roman" w:cs="Times New Roman"/>
          <w:sz w:val="19"/>
          <w:szCs w:val="19"/>
        </w:rPr>
        <w:t>. Plant Physiology. Vol. 152, pp. 656-669.</w:t>
      </w:r>
    </w:p>
    <w:p w14:paraId="0601B216" w14:textId="77777777" w:rsidR="001A52CE" w:rsidRPr="0005164C" w:rsidRDefault="001A52CE" w:rsidP="001246C7">
      <w:pPr>
        <w:numPr>
          <w:ilvl w:val="0"/>
          <w:numId w:val="11"/>
        </w:numPr>
        <w:shd w:val="clear" w:color="auto" w:fill="FFFFFF"/>
        <w:spacing w:before="100" w:beforeAutospacing="1" w:after="120"/>
        <w:jc w:val="left"/>
        <w:rPr>
          <w:b/>
          <w:sz w:val="19"/>
          <w:szCs w:val="19"/>
        </w:rPr>
      </w:pPr>
      <w:r w:rsidRPr="0005164C">
        <w:rPr>
          <w:b/>
          <w:sz w:val="19"/>
          <w:szCs w:val="19"/>
          <w:lang w:val="en-IN" w:eastAsia="en-IN"/>
        </w:rPr>
        <w:t>Biography:</w:t>
      </w:r>
    </w:p>
    <w:p w14:paraId="0A19B948" w14:textId="368A4B7F" w:rsidR="001A52CE" w:rsidRPr="00CC0026" w:rsidRDefault="00CC0026" w:rsidP="007C4F74">
      <w:pPr>
        <w:pStyle w:val="ListParagraph"/>
        <w:spacing w:line="240" w:lineRule="auto"/>
        <w:ind w:left="0"/>
        <w:jc w:val="both"/>
        <w:rPr>
          <w:rFonts w:ascii="Times New Roman" w:hAnsi="Times New Roman" w:cs="Times New Roman"/>
          <w:sz w:val="24"/>
          <w:szCs w:val="24"/>
        </w:rPr>
      </w:pPr>
      <w:bookmarkStart w:id="4" w:name="_Hlk40884123"/>
      <w:r w:rsidRPr="009D2295">
        <w:rPr>
          <w:rFonts w:ascii="Times New Roman" w:hAnsi="Times New Roman" w:cs="Times New Roman"/>
          <w:sz w:val="19"/>
          <w:szCs w:val="19"/>
        </w:rPr>
        <w:t>I</w:t>
      </w:r>
      <w:r w:rsidR="007C4F74">
        <w:rPr>
          <w:rFonts w:ascii="Times New Roman" w:hAnsi="Times New Roman" w:cs="Times New Roman"/>
          <w:sz w:val="19"/>
          <w:szCs w:val="19"/>
        </w:rPr>
        <w:t xml:space="preserve"> </w:t>
      </w:r>
      <w:r w:rsidRPr="009D2295">
        <w:rPr>
          <w:rFonts w:ascii="Times New Roman" w:hAnsi="Times New Roman" w:cs="Times New Roman"/>
          <w:sz w:val="19"/>
          <w:szCs w:val="19"/>
        </w:rPr>
        <w:t xml:space="preserve">completed my undergraduate in 2016 from Tribhuvan University, Nepal. I studied botany as a BS student and did my undergraduate thesis on ethnobotany. I came to USA in 2018 as a graduate student at the University of Louisiana at Monroe. I am currently working on </w:t>
      </w:r>
      <w:r w:rsidRPr="009D2295">
        <w:rPr>
          <w:rFonts w:ascii="Times New Roman" w:hAnsi="Times New Roman" w:cs="Times New Roman"/>
          <w:i/>
          <w:iCs/>
          <w:sz w:val="19"/>
          <w:szCs w:val="19"/>
        </w:rPr>
        <w:t>Arabidopsis thaliana</w:t>
      </w:r>
      <w:r w:rsidRPr="009D2295">
        <w:rPr>
          <w:rFonts w:ascii="Times New Roman" w:hAnsi="Times New Roman" w:cs="Times New Roman"/>
          <w:sz w:val="19"/>
          <w:szCs w:val="19"/>
        </w:rPr>
        <w:t xml:space="preserve"> under the guidance of Dr. Thomas Sasek. He completed is PhD and postdoctoral at Duke University in plant physiological ecology considered the effects of climate change on invasive plant</w:t>
      </w:r>
      <w:r>
        <w:rPr>
          <w:rFonts w:ascii="Times New Roman" w:hAnsi="Times New Roman" w:cs="Times New Roman"/>
          <w:sz w:val="19"/>
          <w:szCs w:val="19"/>
        </w:rPr>
        <w:t>s</w:t>
      </w:r>
      <w:r w:rsidRPr="009D2295">
        <w:rPr>
          <w:rFonts w:ascii="Times New Roman" w:hAnsi="Times New Roman" w:cs="Times New Roman"/>
          <w:sz w:val="19"/>
          <w:szCs w:val="19"/>
        </w:rPr>
        <w:t>. The objective of our work is to study</w:t>
      </w:r>
      <w:r>
        <w:rPr>
          <w:rFonts w:ascii="Times New Roman" w:hAnsi="Times New Roman" w:cs="Times New Roman"/>
          <w:sz w:val="19"/>
          <w:szCs w:val="19"/>
        </w:rPr>
        <w:t xml:space="preserve"> </w:t>
      </w:r>
      <w:r w:rsidRPr="009D2295">
        <w:rPr>
          <w:rFonts w:ascii="Times New Roman" w:hAnsi="Times New Roman" w:cs="Times New Roman"/>
          <w:sz w:val="19"/>
          <w:szCs w:val="19"/>
        </w:rPr>
        <w:t>anthocyanins and their responses to different ozone concentrations as one mechanism of increased ozone resistanc</w:t>
      </w:r>
      <w:bookmarkEnd w:id="4"/>
      <w:r w:rsidR="007C4F74">
        <w:rPr>
          <w:rFonts w:ascii="Times New Roman" w:hAnsi="Times New Roman" w:cs="Times New Roman"/>
          <w:sz w:val="19"/>
          <w:szCs w:val="19"/>
        </w:rPr>
        <w:t>e.</w:t>
      </w:r>
    </w:p>
    <w:p w14:paraId="62A97B05" w14:textId="2813D1ED" w:rsidR="001A52CE" w:rsidRDefault="001A52CE" w:rsidP="001A52CE">
      <w:pPr>
        <w:numPr>
          <w:ilvl w:val="0"/>
          <w:numId w:val="11"/>
        </w:numPr>
        <w:autoSpaceDE w:val="0"/>
        <w:autoSpaceDN w:val="0"/>
        <w:adjustRightInd w:val="0"/>
        <w:jc w:val="left"/>
        <w:rPr>
          <w:b/>
          <w:sz w:val="19"/>
          <w:szCs w:val="19"/>
          <w:lang w:val="en-NZ"/>
        </w:rPr>
      </w:pPr>
      <w:r w:rsidRPr="0005164C">
        <w:rPr>
          <w:b/>
          <w:sz w:val="19"/>
          <w:szCs w:val="19"/>
          <w:lang w:val="en-NZ"/>
        </w:rPr>
        <w:t xml:space="preserve">Presenting author details </w:t>
      </w:r>
    </w:p>
    <w:p w14:paraId="55117A4C" w14:textId="51ED89B4" w:rsidR="00CC0026" w:rsidRPr="00CC0026" w:rsidRDefault="00CC0026" w:rsidP="00CC0026">
      <w:pPr>
        <w:autoSpaceDE w:val="0"/>
        <w:autoSpaceDN w:val="0"/>
        <w:adjustRightInd w:val="0"/>
        <w:ind w:left="2520"/>
        <w:jc w:val="left"/>
        <w:rPr>
          <w:b/>
          <w:sz w:val="19"/>
          <w:szCs w:val="19"/>
          <w:lang w:val="en-NZ"/>
        </w:rPr>
      </w:pPr>
    </w:p>
    <w:p w14:paraId="1AE165BB" w14:textId="59ACCFCF" w:rsidR="001A52CE" w:rsidRPr="0005164C" w:rsidRDefault="00C36214" w:rsidP="001A52CE">
      <w:pPr>
        <w:autoSpaceDE w:val="0"/>
        <w:autoSpaceDN w:val="0"/>
        <w:adjustRightInd w:val="0"/>
        <w:jc w:val="left"/>
        <w:rPr>
          <w:sz w:val="19"/>
          <w:szCs w:val="19"/>
          <w:lang w:val="en-NZ"/>
        </w:rPr>
      </w:pPr>
      <w:r>
        <w:rPr>
          <w:noProof/>
        </w:rPr>
        <w:drawing>
          <wp:inline distT="0" distB="0" distL="0" distR="0" wp14:anchorId="3D5F7C60" wp14:editId="55ED2118">
            <wp:extent cx="704757" cy="1085938"/>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696" cy="1130530"/>
                    </a:xfrm>
                    <a:prstGeom prst="rect">
                      <a:avLst/>
                    </a:prstGeom>
                    <a:noFill/>
                    <a:ln>
                      <a:noFill/>
                    </a:ln>
                  </pic:spPr>
                </pic:pic>
              </a:graphicData>
            </a:graphic>
          </wp:inline>
        </w:drawing>
      </w:r>
      <w:r w:rsidR="001A52CE" w:rsidRPr="0005164C">
        <w:rPr>
          <w:sz w:val="19"/>
          <w:szCs w:val="19"/>
          <w:lang w:val="en-NZ"/>
        </w:rPr>
        <w:br/>
      </w:r>
    </w:p>
    <w:p w14:paraId="54087486" w14:textId="75598694" w:rsidR="001A52CE" w:rsidRPr="0005164C" w:rsidRDefault="001A52CE" w:rsidP="001A52CE">
      <w:pPr>
        <w:autoSpaceDE w:val="0"/>
        <w:autoSpaceDN w:val="0"/>
        <w:adjustRightInd w:val="0"/>
        <w:jc w:val="left"/>
        <w:rPr>
          <w:sz w:val="19"/>
          <w:szCs w:val="19"/>
          <w:lang w:val="en-NZ"/>
        </w:rPr>
      </w:pPr>
      <w:r w:rsidRPr="0005164C">
        <w:rPr>
          <w:sz w:val="19"/>
          <w:szCs w:val="19"/>
          <w:lang w:val="en-NZ"/>
        </w:rPr>
        <w:t>Full Name:</w:t>
      </w:r>
      <w:r w:rsidR="00C36214">
        <w:rPr>
          <w:sz w:val="19"/>
          <w:szCs w:val="19"/>
          <w:lang w:val="en-NZ"/>
        </w:rPr>
        <w:t xml:space="preserve"> Nimble Giri</w:t>
      </w:r>
    </w:p>
    <w:p w14:paraId="1A505D13" w14:textId="4043C9C5" w:rsidR="007C4F74" w:rsidRDefault="001A52CE" w:rsidP="001A52CE">
      <w:pPr>
        <w:autoSpaceDE w:val="0"/>
        <w:autoSpaceDN w:val="0"/>
        <w:adjustRightInd w:val="0"/>
        <w:jc w:val="left"/>
        <w:rPr>
          <w:sz w:val="19"/>
          <w:szCs w:val="19"/>
          <w:lang w:val="en-NZ"/>
        </w:rPr>
      </w:pPr>
      <w:r w:rsidRPr="0005164C">
        <w:rPr>
          <w:sz w:val="19"/>
          <w:szCs w:val="19"/>
          <w:lang w:val="en-NZ"/>
        </w:rPr>
        <w:t>Contact number</w:t>
      </w:r>
      <w:r w:rsidR="00C36214">
        <w:rPr>
          <w:sz w:val="19"/>
          <w:szCs w:val="19"/>
          <w:lang w:val="en-NZ"/>
        </w:rPr>
        <w:t>: 318-267-5073</w:t>
      </w:r>
    </w:p>
    <w:p w14:paraId="060B3E95" w14:textId="29DFB875" w:rsidR="007C4F74" w:rsidRDefault="001A52CE" w:rsidP="001A52CE">
      <w:pPr>
        <w:autoSpaceDE w:val="0"/>
        <w:autoSpaceDN w:val="0"/>
        <w:adjustRightInd w:val="0"/>
        <w:jc w:val="left"/>
        <w:rPr>
          <w:sz w:val="19"/>
          <w:szCs w:val="19"/>
          <w:lang w:val="en-NZ"/>
        </w:rPr>
      </w:pPr>
      <w:r w:rsidRPr="0005164C">
        <w:rPr>
          <w:sz w:val="19"/>
          <w:szCs w:val="19"/>
          <w:lang w:val="en-NZ"/>
        </w:rPr>
        <w:t>Twitter account:</w:t>
      </w:r>
      <w:r w:rsidR="00C36214">
        <w:rPr>
          <w:sz w:val="19"/>
          <w:szCs w:val="19"/>
          <w:lang w:val="en-NZ"/>
        </w:rPr>
        <w:t xml:space="preserve"> </w:t>
      </w:r>
      <w:proofErr w:type="spellStart"/>
      <w:r w:rsidR="00C36214">
        <w:rPr>
          <w:sz w:val="19"/>
          <w:szCs w:val="19"/>
          <w:lang w:val="en-NZ"/>
        </w:rPr>
        <w:t>Imbl.g</w:t>
      </w:r>
      <w:proofErr w:type="spellEnd"/>
    </w:p>
    <w:p w14:paraId="32FBEF44" w14:textId="3815B43E" w:rsidR="007C4F74" w:rsidRDefault="001A52CE" w:rsidP="007C4F74">
      <w:pPr>
        <w:widowControl w:val="0"/>
        <w:autoSpaceDE w:val="0"/>
        <w:autoSpaceDN w:val="0"/>
        <w:adjustRightInd w:val="0"/>
        <w:jc w:val="left"/>
        <w:rPr>
          <w:sz w:val="19"/>
          <w:szCs w:val="19"/>
          <w:lang w:val="en-NZ"/>
        </w:rPr>
      </w:pPr>
      <w:r w:rsidRPr="0005164C">
        <w:rPr>
          <w:sz w:val="19"/>
          <w:szCs w:val="19"/>
          <w:lang w:val="en-NZ"/>
        </w:rPr>
        <w:t>Linked In account</w:t>
      </w:r>
      <w:r w:rsidR="00C36214">
        <w:rPr>
          <w:sz w:val="19"/>
          <w:szCs w:val="19"/>
          <w:lang w:val="en-NZ"/>
        </w:rPr>
        <w:t>: Nimble Giri</w:t>
      </w:r>
    </w:p>
    <w:p w14:paraId="47C4EE07" w14:textId="0EEAF5D1" w:rsidR="007C4F74" w:rsidRDefault="007C4F74" w:rsidP="001A52CE">
      <w:pPr>
        <w:autoSpaceDE w:val="0"/>
        <w:autoSpaceDN w:val="0"/>
        <w:adjustRightInd w:val="0"/>
        <w:jc w:val="left"/>
        <w:rPr>
          <w:sz w:val="19"/>
          <w:szCs w:val="19"/>
          <w:lang w:val="en-NZ"/>
        </w:rPr>
      </w:pPr>
      <w:r>
        <w:rPr>
          <w:sz w:val="19"/>
          <w:szCs w:val="19"/>
          <w:lang w:val="en-NZ"/>
        </w:rPr>
        <w:t>S</w:t>
      </w:r>
      <w:r w:rsidR="001A52CE" w:rsidRPr="0005164C">
        <w:rPr>
          <w:sz w:val="19"/>
          <w:szCs w:val="19"/>
          <w:lang w:val="en-NZ"/>
        </w:rPr>
        <w:t>ession name/ number:</w:t>
      </w:r>
      <w:r w:rsidR="00C36214">
        <w:rPr>
          <w:sz w:val="19"/>
          <w:szCs w:val="19"/>
          <w:lang w:val="en-NZ"/>
        </w:rPr>
        <w:t xml:space="preserve"> 05: Stress Signalling in Plants</w:t>
      </w:r>
    </w:p>
    <w:p w14:paraId="6B42A306" w14:textId="547920C2" w:rsidR="001A52CE" w:rsidRDefault="001A52CE" w:rsidP="001A52CE">
      <w:pPr>
        <w:autoSpaceDE w:val="0"/>
        <w:autoSpaceDN w:val="0"/>
        <w:adjustRightInd w:val="0"/>
        <w:jc w:val="left"/>
        <w:rPr>
          <w:sz w:val="19"/>
          <w:szCs w:val="19"/>
          <w:lang w:val="en-NZ"/>
        </w:rPr>
      </w:pPr>
      <w:r w:rsidRPr="0005164C">
        <w:rPr>
          <w:sz w:val="19"/>
          <w:szCs w:val="19"/>
          <w:lang w:val="en-NZ"/>
        </w:rPr>
        <w:t xml:space="preserve">Category: </w:t>
      </w:r>
      <w:r w:rsidR="00855341">
        <w:rPr>
          <w:sz w:val="19"/>
          <w:szCs w:val="19"/>
          <w:lang w:val="en-NZ"/>
        </w:rPr>
        <w:t>e-</w:t>
      </w:r>
      <w:r w:rsidRPr="0005164C">
        <w:rPr>
          <w:sz w:val="19"/>
          <w:szCs w:val="19"/>
          <w:lang w:val="en-NZ"/>
        </w:rPr>
        <w:t>Poster presentation</w:t>
      </w:r>
    </w:p>
    <w:p w14:paraId="7E35CC6D" w14:textId="21CD69D4" w:rsidR="00C36214" w:rsidRPr="007C4F74" w:rsidRDefault="00C36214" w:rsidP="001A52CE">
      <w:pPr>
        <w:autoSpaceDE w:val="0"/>
        <w:autoSpaceDN w:val="0"/>
        <w:adjustRightInd w:val="0"/>
        <w:jc w:val="left"/>
        <w:rPr>
          <w:sz w:val="19"/>
          <w:szCs w:val="19"/>
          <w:lang w:val="en-NZ"/>
        </w:rPr>
      </w:pPr>
    </w:p>
    <w:p w14:paraId="7675003B" w14:textId="77777777" w:rsidR="00803340" w:rsidRDefault="006D1BFC">
      <w:bookmarkStart w:id="5" w:name="_GoBack"/>
      <w:bookmarkEnd w:id="5"/>
    </w:p>
    <w:sectPr w:rsidR="00803340" w:rsidSect="003C0794">
      <w:type w:val="continuous"/>
      <w:pgSz w:w="11909" w:h="16834" w:code="9"/>
      <w:pgMar w:top="1080" w:right="734" w:bottom="2434" w:left="734"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0202D" w14:textId="77777777" w:rsidR="006D1BFC" w:rsidRDefault="006D1BFC" w:rsidP="007C4F74">
      <w:r>
        <w:separator/>
      </w:r>
    </w:p>
  </w:endnote>
  <w:endnote w:type="continuationSeparator" w:id="0">
    <w:p w14:paraId="3AD3E1AB" w14:textId="77777777" w:rsidR="006D1BFC" w:rsidRDefault="006D1BFC" w:rsidP="007C4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C8802B" w14:textId="77777777" w:rsidR="006D1BFC" w:rsidRDefault="006D1BFC" w:rsidP="007C4F74">
      <w:r>
        <w:separator/>
      </w:r>
    </w:p>
  </w:footnote>
  <w:footnote w:type="continuationSeparator" w:id="0">
    <w:p w14:paraId="7B072CDB" w14:textId="77777777" w:rsidR="006D1BFC" w:rsidRDefault="006D1BFC" w:rsidP="007C4F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0A83"/>
    <w:multiLevelType w:val="hybridMultilevel"/>
    <w:tmpl w:val="93E2C98C"/>
    <w:lvl w:ilvl="0" w:tplc="EDCA24BC">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FE2615"/>
    <w:multiLevelType w:val="hybridMultilevel"/>
    <w:tmpl w:val="A11887F0"/>
    <w:lvl w:ilvl="0" w:tplc="510C9278">
      <w:start w:val="1"/>
      <w:numFmt w:val="upp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D6D775C"/>
    <w:multiLevelType w:val="hybridMultilevel"/>
    <w:tmpl w:val="B9265BA0"/>
    <w:lvl w:ilvl="0" w:tplc="97344912">
      <w:start w:val="1"/>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2FAE7138"/>
    <w:multiLevelType w:val="hybridMultilevel"/>
    <w:tmpl w:val="49A0E846"/>
    <w:lvl w:ilvl="0" w:tplc="D3BECE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2E09F3"/>
    <w:multiLevelType w:val="hybridMultilevel"/>
    <w:tmpl w:val="23889F42"/>
    <w:lvl w:ilvl="0" w:tplc="31B8B376">
      <w:start w:val="1"/>
      <w:numFmt w:val="upperRoman"/>
      <w:lvlText w:val="%1."/>
      <w:lvlJc w:val="left"/>
      <w:pPr>
        <w:ind w:left="767" w:hanging="720"/>
      </w:pPr>
      <w:rPr>
        <w:rFonts w:hint="default"/>
        <w:b w:val="0"/>
      </w:rPr>
    </w:lvl>
    <w:lvl w:ilvl="1" w:tplc="04090019" w:tentative="1">
      <w:start w:val="1"/>
      <w:numFmt w:val="lowerLetter"/>
      <w:lvlText w:val="%2."/>
      <w:lvlJc w:val="left"/>
      <w:pPr>
        <w:ind w:left="1127" w:hanging="360"/>
      </w:pPr>
    </w:lvl>
    <w:lvl w:ilvl="2" w:tplc="0409001B" w:tentative="1">
      <w:start w:val="1"/>
      <w:numFmt w:val="lowerRoman"/>
      <w:lvlText w:val="%3."/>
      <w:lvlJc w:val="right"/>
      <w:pPr>
        <w:ind w:left="1847" w:hanging="180"/>
      </w:pPr>
    </w:lvl>
    <w:lvl w:ilvl="3" w:tplc="0409000F" w:tentative="1">
      <w:start w:val="1"/>
      <w:numFmt w:val="decimal"/>
      <w:lvlText w:val="%4."/>
      <w:lvlJc w:val="left"/>
      <w:pPr>
        <w:ind w:left="2567" w:hanging="360"/>
      </w:pPr>
    </w:lvl>
    <w:lvl w:ilvl="4" w:tplc="04090019" w:tentative="1">
      <w:start w:val="1"/>
      <w:numFmt w:val="lowerLetter"/>
      <w:lvlText w:val="%5."/>
      <w:lvlJc w:val="left"/>
      <w:pPr>
        <w:ind w:left="3287" w:hanging="360"/>
      </w:pPr>
    </w:lvl>
    <w:lvl w:ilvl="5" w:tplc="0409001B" w:tentative="1">
      <w:start w:val="1"/>
      <w:numFmt w:val="lowerRoman"/>
      <w:lvlText w:val="%6."/>
      <w:lvlJc w:val="right"/>
      <w:pPr>
        <w:ind w:left="4007" w:hanging="180"/>
      </w:pPr>
    </w:lvl>
    <w:lvl w:ilvl="6" w:tplc="0409000F" w:tentative="1">
      <w:start w:val="1"/>
      <w:numFmt w:val="decimal"/>
      <w:lvlText w:val="%7."/>
      <w:lvlJc w:val="left"/>
      <w:pPr>
        <w:ind w:left="4727" w:hanging="360"/>
      </w:pPr>
    </w:lvl>
    <w:lvl w:ilvl="7" w:tplc="04090019" w:tentative="1">
      <w:start w:val="1"/>
      <w:numFmt w:val="lowerLetter"/>
      <w:lvlText w:val="%8."/>
      <w:lvlJc w:val="left"/>
      <w:pPr>
        <w:ind w:left="5447" w:hanging="360"/>
      </w:pPr>
    </w:lvl>
    <w:lvl w:ilvl="8" w:tplc="0409001B" w:tentative="1">
      <w:start w:val="1"/>
      <w:numFmt w:val="lowerRoman"/>
      <w:lvlText w:val="%9."/>
      <w:lvlJc w:val="right"/>
      <w:pPr>
        <w:ind w:left="6167" w:hanging="180"/>
      </w:pPr>
    </w:lvl>
  </w:abstractNum>
  <w:abstractNum w:abstractNumId="6" w15:restartNumberingAfterBreak="0">
    <w:nsid w:val="537862F9"/>
    <w:multiLevelType w:val="hybridMultilevel"/>
    <w:tmpl w:val="EA3E0C3C"/>
    <w:lvl w:ilvl="0" w:tplc="E09AFFFC">
      <w:start w:val="1"/>
      <w:numFmt w:val="upperRoman"/>
      <w:lvlText w:val="%1."/>
      <w:lvlJc w:val="left"/>
      <w:pPr>
        <w:ind w:left="1801" w:hanging="720"/>
      </w:pPr>
      <w:rPr>
        <w:rFonts w:hint="default"/>
      </w:rPr>
    </w:lvl>
    <w:lvl w:ilvl="1" w:tplc="04090019" w:tentative="1">
      <w:start w:val="1"/>
      <w:numFmt w:val="lowerLetter"/>
      <w:lvlText w:val="%2."/>
      <w:lvlJc w:val="left"/>
      <w:pPr>
        <w:ind w:left="2161" w:hanging="360"/>
      </w:pPr>
    </w:lvl>
    <w:lvl w:ilvl="2" w:tplc="0409001B" w:tentative="1">
      <w:start w:val="1"/>
      <w:numFmt w:val="lowerRoman"/>
      <w:lvlText w:val="%3."/>
      <w:lvlJc w:val="right"/>
      <w:pPr>
        <w:ind w:left="2881" w:hanging="180"/>
      </w:pPr>
    </w:lvl>
    <w:lvl w:ilvl="3" w:tplc="0409000F" w:tentative="1">
      <w:start w:val="1"/>
      <w:numFmt w:val="decimal"/>
      <w:lvlText w:val="%4."/>
      <w:lvlJc w:val="left"/>
      <w:pPr>
        <w:ind w:left="3601" w:hanging="360"/>
      </w:pPr>
    </w:lvl>
    <w:lvl w:ilvl="4" w:tplc="04090019" w:tentative="1">
      <w:start w:val="1"/>
      <w:numFmt w:val="lowerLetter"/>
      <w:lvlText w:val="%5."/>
      <w:lvlJc w:val="left"/>
      <w:pPr>
        <w:ind w:left="4321" w:hanging="360"/>
      </w:pPr>
    </w:lvl>
    <w:lvl w:ilvl="5" w:tplc="0409001B" w:tentative="1">
      <w:start w:val="1"/>
      <w:numFmt w:val="lowerRoman"/>
      <w:lvlText w:val="%6."/>
      <w:lvlJc w:val="right"/>
      <w:pPr>
        <w:ind w:left="5041" w:hanging="180"/>
      </w:pPr>
    </w:lvl>
    <w:lvl w:ilvl="6" w:tplc="0409000F" w:tentative="1">
      <w:start w:val="1"/>
      <w:numFmt w:val="decimal"/>
      <w:lvlText w:val="%7."/>
      <w:lvlJc w:val="left"/>
      <w:pPr>
        <w:ind w:left="5761" w:hanging="360"/>
      </w:pPr>
    </w:lvl>
    <w:lvl w:ilvl="7" w:tplc="04090019" w:tentative="1">
      <w:start w:val="1"/>
      <w:numFmt w:val="lowerLetter"/>
      <w:lvlText w:val="%8."/>
      <w:lvlJc w:val="left"/>
      <w:pPr>
        <w:ind w:left="6481" w:hanging="360"/>
      </w:pPr>
    </w:lvl>
    <w:lvl w:ilvl="8" w:tplc="0409001B" w:tentative="1">
      <w:start w:val="1"/>
      <w:numFmt w:val="lowerRoman"/>
      <w:lvlText w:val="%9."/>
      <w:lvlJc w:val="right"/>
      <w:pPr>
        <w:ind w:left="7201" w:hanging="180"/>
      </w:pPr>
    </w:lvl>
  </w:abstractNum>
  <w:abstractNum w:abstractNumId="7"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8" w15:restartNumberingAfterBreak="0">
    <w:nsid w:val="6C107F92"/>
    <w:multiLevelType w:val="hybridMultilevel"/>
    <w:tmpl w:val="4BAEB60A"/>
    <w:lvl w:ilvl="0" w:tplc="B462BDFE">
      <w:start w:val="1"/>
      <w:numFmt w:val="upperRoman"/>
      <w:lvlText w:val="%1."/>
      <w:lvlJc w:val="left"/>
      <w:pPr>
        <w:ind w:left="1847" w:hanging="72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9" w15:restartNumberingAfterBreak="0">
    <w:nsid w:val="74662CA4"/>
    <w:multiLevelType w:val="hybridMultilevel"/>
    <w:tmpl w:val="6218B32A"/>
    <w:lvl w:ilvl="0" w:tplc="4C3640F4">
      <w:start w:val="1"/>
      <w:numFmt w:val="upperRoman"/>
      <w:lvlText w:val="%1."/>
      <w:lvlJc w:val="left"/>
      <w:pPr>
        <w:ind w:left="2434" w:hanging="720"/>
      </w:pPr>
      <w:rPr>
        <w:rFonts w:hint="default"/>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0"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CEA75DE"/>
    <w:multiLevelType w:val="hybridMultilevel"/>
    <w:tmpl w:val="9A148C90"/>
    <w:lvl w:ilvl="0" w:tplc="78DC204E">
      <w:start w:val="1"/>
      <w:numFmt w:val="upperRoman"/>
      <w:lvlText w:val="%1."/>
      <w:lvlJc w:val="left"/>
      <w:pPr>
        <w:ind w:left="2760" w:hanging="720"/>
      </w:pPr>
      <w:rPr>
        <w:rFonts w:hint="default"/>
      </w:rPr>
    </w:lvl>
    <w:lvl w:ilvl="1" w:tplc="04090019" w:tentative="1">
      <w:start w:val="1"/>
      <w:numFmt w:val="lowerLetter"/>
      <w:lvlText w:val="%2."/>
      <w:lvlJc w:val="left"/>
      <w:pPr>
        <w:ind w:left="3120" w:hanging="360"/>
      </w:pPr>
    </w:lvl>
    <w:lvl w:ilvl="2" w:tplc="0409001B" w:tentative="1">
      <w:start w:val="1"/>
      <w:numFmt w:val="lowerRoman"/>
      <w:lvlText w:val="%3."/>
      <w:lvlJc w:val="right"/>
      <w:pPr>
        <w:ind w:left="3840" w:hanging="180"/>
      </w:pPr>
    </w:lvl>
    <w:lvl w:ilvl="3" w:tplc="0409000F" w:tentative="1">
      <w:start w:val="1"/>
      <w:numFmt w:val="decimal"/>
      <w:lvlText w:val="%4."/>
      <w:lvlJc w:val="left"/>
      <w:pPr>
        <w:ind w:left="4560" w:hanging="360"/>
      </w:pPr>
    </w:lvl>
    <w:lvl w:ilvl="4" w:tplc="04090019" w:tentative="1">
      <w:start w:val="1"/>
      <w:numFmt w:val="lowerLetter"/>
      <w:lvlText w:val="%5."/>
      <w:lvlJc w:val="left"/>
      <w:pPr>
        <w:ind w:left="5280" w:hanging="360"/>
      </w:pPr>
    </w:lvl>
    <w:lvl w:ilvl="5" w:tplc="0409001B" w:tentative="1">
      <w:start w:val="1"/>
      <w:numFmt w:val="lowerRoman"/>
      <w:lvlText w:val="%6."/>
      <w:lvlJc w:val="right"/>
      <w:pPr>
        <w:ind w:left="6000" w:hanging="180"/>
      </w:pPr>
    </w:lvl>
    <w:lvl w:ilvl="6" w:tplc="0409000F" w:tentative="1">
      <w:start w:val="1"/>
      <w:numFmt w:val="decimal"/>
      <w:lvlText w:val="%7."/>
      <w:lvlJc w:val="left"/>
      <w:pPr>
        <w:ind w:left="6720" w:hanging="360"/>
      </w:pPr>
    </w:lvl>
    <w:lvl w:ilvl="7" w:tplc="04090019" w:tentative="1">
      <w:start w:val="1"/>
      <w:numFmt w:val="lowerLetter"/>
      <w:lvlText w:val="%8."/>
      <w:lvlJc w:val="left"/>
      <w:pPr>
        <w:ind w:left="7440" w:hanging="360"/>
      </w:pPr>
    </w:lvl>
    <w:lvl w:ilvl="8" w:tplc="0409001B" w:tentative="1">
      <w:start w:val="1"/>
      <w:numFmt w:val="lowerRoman"/>
      <w:lvlText w:val="%9."/>
      <w:lvlJc w:val="right"/>
      <w:pPr>
        <w:ind w:left="8160" w:hanging="180"/>
      </w:pPr>
    </w:lvl>
  </w:abstractNum>
  <w:num w:numId="1">
    <w:abstractNumId w:val="4"/>
    <w:lvlOverride w:ilvl="0">
      <w:startOverride w:val="2"/>
    </w:lvlOverride>
  </w:num>
  <w:num w:numId="2">
    <w:abstractNumId w:val="7"/>
  </w:num>
  <w:num w:numId="3">
    <w:abstractNumId w:val="10"/>
  </w:num>
  <w:num w:numId="4">
    <w:abstractNumId w:val="9"/>
  </w:num>
  <w:num w:numId="5">
    <w:abstractNumId w:val="6"/>
  </w:num>
  <w:num w:numId="6">
    <w:abstractNumId w:val="8"/>
  </w:num>
  <w:num w:numId="7">
    <w:abstractNumId w:val="5"/>
  </w:num>
  <w:num w:numId="8">
    <w:abstractNumId w:val="11"/>
  </w:num>
  <w:num w:numId="9">
    <w:abstractNumId w:val="3"/>
  </w:num>
  <w:num w:numId="10">
    <w:abstractNumId w:val="0"/>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52CE"/>
    <w:rsid w:val="001246C7"/>
    <w:rsid w:val="001A52CE"/>
    <w:rsid w:val="00365A01"/>
    <w:rsid w:val="003E0E43"/>
    <w:rsid w:val="00576DD0"/>
    <w:rsid w:val="006334DB"/>
    <w:rsid w:val="006D1BFC"/>
    <w:rsid w:val="00737F61"/>
    <w:rsid w:val="007C4F74"/>
    <w:rsid w:val="00853D6E"/>
    <w:rsid w:val="00855341"/>
    <w:rsid w:val="00BD3ACD"/>
    <w:rsid w:val="00C36214"/>
    <w:rsid w:val="00CC0026"/>
    <w:rsid w:val="00D26C7B"/>
    <w:rsid w:val="00F000E0"/>
    <w:rsid w:val="00F56619"/>
    <w:rsid w:val="00FA33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BD610"/>
  <w15:docId w15:val="{BE5ACA12-E852-A542-8C14-E05622146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76DD0"/>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 w:type="paragraph" w:styleId="ListParagraph">
    <w:name w:val="List Paragraph"/>
    <w:basedOn w:val="Normal"/>
    <w:uiPriority w:val="34"/>
    <w:qFormat/>
    <w:rsid w:val="001246C7"/>
    <w:pPr>
      <w:spacing w:after="160" w:line="259" w:lineRule="auto"/>
      <w:ind w:left="720"/>
      <w:contextualSpacing/>
      <w:jc w:val="left"/>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7C4F74"/>
    <w:pPr>
      <w:tabs>
        <w:tab w:val="center" w:pos="4680"/>
        <w:tab w:val="right" w:pos="9360"/>
      </w:tabs>
    </w:pPr>
  </w:style>
  <w:style w:type="character" w:customStyle="1" w:styleId="HeaderChar">
    <w:name w:val="Header Char"/>
    <w:basedOn w:val="DefaultParagraphFont"/>
    <w:link w:val="Header"/>
    <w:uiPriority w:val="99"/>
    <w:rsid w:val="007C4F74"/>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7C4F74"/>
    <w:pPr>
      <w:tabs>
        <w:tab w:val="center" w:pos="4680"/>
        <w:tab w:val="right" w:pos="9360"/>
      </w:tabs>
    </w:pPr>
  </w:style>
  <w:style w:type="character" w:customStyle="1" w:styleId="FooterChar">
    <w:name w:val="Footer Char"/>
    <w:basedOn w:val="DefaultParagraphFont"/>
    <w:link w:val="Footer"/>
    <w:uiPriority w:val="99"/>
    <w:rsid w:val="007C4F74"/>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567</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Nimble  Giri</cp:lastModifiedBy>
  <cp:revision>2</cp:revision>
  <dcterms:created xsi:type="dcterms:W3CDTF">2020-05-20T22:04:00Z</dcterms:created>
  <dcterms:modified xsi:type="dcterms:W3CDTF">2020-05-20T22:04:00Z</dcterms:modified>
</cp:coreProperties>
</file>