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CE" w:rsidRPr="0005164C" w:rsidRDefault="001A52CE" w:rsidP="001A52CE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</w:t>
      </w:r>
    </w:p>
    <w:p w:rsidR="001A52CE" w:rsidRDefault="001A52CE" w:rsidP="001A52CE">
      <w:pPr>
        <w:pStyle w:val="Author"/>
        <w:rPr>
          <w:rFonts w:eastAsia="MS Mincho"/>
          <w:sz w:val="18"/>
          <w:szCs w:val="18"/>
        </w:rPr>
      </w:pPr>
    </w:p>
    <w:p w:rsidR="001A52CE" w:rsidRPr="0005164C" w:rsidRDefault="001A52CE" w:rsidP="001A52CE">
      <w:pPr>
        <w:pStyle w:val="Author"/>
        <w:rPr>
          <w:rFonts w:eastAsia="MS Mincho"/>
          <w:sz w:val="18"/>
          <w:szCs w:val="18"/>
        </w:rPr>
        <w:sectPr w:rsidR="001A52CE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F021BF" w:rsidRDefault="00145D77" w:rsidP="001A52CE">
      <w:pPr>
        <w:jc w:val="both"/>
        <w:rPr>
          <w:rFonts w:eastAsia="MS PGothic" w:cs="Angsana New" w:hint="eastAsia"/>
          <w:b/>
          <w:color w:val="000000"/>
          <w:sz w:val="22"/>
          <w:szCs w:val="28"/>
          <w:lang w:eastAsia="ja-JP" w:bidi="th-TH"/>
        </w:rPr>
      </w:pPr>
      <w:r w:rsidRPr="00145D77">
        <w:rPr>
          <w:rFonts w:eastAsia="MS PGothic"/>
          <w:b/>
          <w:color w:val="000000"/>
          <w:sz w:val="22"/>
          <w:szCs w:val="22"/>
        </w:rPr>
        <w:t xml:space="preserve">Title: Variation of </w:t>
      </w:r>
      <w:r w:rsidRPr="00885CF5">
        <w:rPr>
          <w:rFonts w:eastAsia="MS PGothic"/>
          <w:b/>
          <w:i/>
          <w:iCs/>
          <w:color w:val="000000"/>
          <w:sz w:val="22"/>
          <w:szCs w:val="22"/>
        </w:rPr>
        <w:t>in vitro</w:t>
      </w:r>
      <w:r w:rsidRPr="00145D77">
        <w:rPr>
          <w:rFonts w:eastAsia="MS PGothic"/>
          <w:b/>
          <w:color w:val="000000"/>
          <w:sz w:val="22"/>
          <w:szCs w:val="22"/>
        </w:rPr>
        <w:t xml:space="preserve"> dry matter digestibility in </w:t>
      </w:r>
      <w:r w:rsidRPr="00145D77">
        <w:rPr>
          <w:rFonts w:eastAsia="MS PGothic"/>
          <w:b/>
          <w:i/>
          <w:iCs/>
          <w:color w:val="000000"/>
          <w:sz w:val="22"/>
          <w:szCs w:val="22"/>
        </w:rPr>
        <w:t>Brachiaria ruziziensis</w:t>
      </w:r>
      <w:r w:rsidRPr="00145D77">
        <w:rPr>
          <w:rFonts w:eastAsia="MS PGothic"/>
          <w:b/>
          <w:color w:val="000000"/>
          <w:sz w:val="22"/>
          <w:szCs w:val="22"/>
        </w:rPr>
        <w:t xml:space="preserve"> population</w:t>
      </w:r>
      <w:r w:rsidR="00F021BF">
        <w:rPr>
          <w:rFonts w:eastAsia="MS PGothic"/>
          <w:b/>
          <w:color w:val="000000"/>
          <w:sz w:val="22"/>
          <w:szCs w:val="22"/>
        </w:rPr>
        <w:t>s</w:t>
      </w:r>
    </w:p>
    <w:p w:rsidR="001A52CE" w:rsidRPr="009D49B8" w:rsidRDefault="001A52CE" w:rsidP="001A52CE">
      <w:pPr>
        <w:jc w:val="both"/>
        <w:rPr>
          <w:rFonts w:eastAsia="MS PGothic"/>
          <w:color w:val="000000"/>
          <w:sz w:val="22"/>
          <w:szCs w:val="22"/>
        </w:rPr>
      </w:pPr>
    </w:p>
    <w:p w:rsidR="00145D77" w:rsidRDefault="00860049" w:rsidP="001A52CE">
      <w:pPr>
        <w:shd w:val="clear" w:color="auto" w:fill="FFFFFF"/>
        <w:jc w:val="both"/>
        <w:rPr>
          <w:b/>
          <w:bCs/>
          <w:sz w:val="19"/>
          <w:szCs w:val="19"/>
          <w:lang w:val="en-IN" w:eastAsia="en-IN"/>
        </w:rPr>
      </w:pPr>
      <w:r w:rsidRPr="00860049">
        <w:rPr>
          <w:b/>
          <w:bCs/>
          <w:sz w:val="19"/>
          <w:szCs w:val="19"/>
          <w:lang w:val="en-IN" w:eastAsia="en-IN"/>
        </w:rPr>
        <w:t>Thaikua</w:t>
      </w:r>
      <w:r>
        <w:rPr>
          <w:b/>
          <w:bCs/>
          <w:sz w:val="19"/>
          <w:szCs w:val="19"/>
          <w:lang w:val="en-IN" w:eastAsia="en-IN"/>
        </w:rPr>
        <w:t xml:space="preserve"> S</w:t>
      </w:r>
      <w:r w:rsidR="00145D77" w:rsidRPr="00145D77">
        <w:rPr>
          <w:b/>
          <w:bCs/>
          <w:sz w:val="19"/>
          <w:szCs w:val="19"/>
          <w:vertAlign w:val="superscript"/>
          <w:lang w:val="en-IN" w:eastAsia="en-IN"/>
        </w:rPr>
        <w:t xml:space="preserve"> </w:t>
      </w:r>
      <w:r w:rsidR="00145D77">
        <w:rPr>
          <w:b/>
          <w:bCs/>
          <w:sz w:val="19"/>
          <w:szCs w:val="19"/>
          <w:vertAlign w:val="superscript"/>
          <w:lang w:val="en-IN" w:eastAsia="en-IN"/>
        </w:rPr>
        <w:t>1</w:t>
      </w:r>
      <w:r>
        <w:rPr>
          <w:b/>
          <w:bCs/>
          <w:sz w:val="19"/>
          <w:szCs w:val="19"/>
          <w:lang w:val="en-IN" w:eastAsia="en-IN"/>
        </w:rPr>
        <w:t xml:space="preserve">, </w:t>
      </w:r>
      <w:r w:rsidRPr="00860049">
        <w:rPr>
          <w:b/>
          <w:bCs/>
          <w:sz w:val="19"/>
          <w:szCs w:val="19"/>
          <w:lang w:val="en-IN" w:eastAsia="en-IN"/>
        </w:rPr>
        <w:t>Puangkaew</w:t>
      </w:r>
      <w:r>
        <w:rPr>
          <w:b/>
          <w:bCs/>
          <w:sz w:val="19"/>
          <w:szCs w:val="19"/>
          <w:lang w:val="en-IN" w:eastAsia="en-IN"/>
        </w:rPr>
        <w:t xml:space="preserve"> R</w:t>
      </w:r>
      <w:r w:rsidR="003677FD" w:rsidRPr="003677FD">
        <w:rPr>
          <w:b/>
          <w:bCs/>
          <w:sz w:val="19"/>
          <w:szCs w:val="19"/>
          <w:vertAlign w:val="superscript"/>
          <w:lang w:val="en-IN" w:eastAsia="en-IN"/>
        </w:rPr>
        <w:t xml:space="preserve"> </w:t>
      </w:r>
      <w:r w:rsidR="003677FD">
        <w:rPr>
          <w:b/>
          <w:bCs/>
          <w:sz w:val="19"/>
          <w:szCs w:val="19"/>
          <w:vertAlign w:val="superscript"/>
          <w:lang w:val="en-IN" w:eastAsia="en-IN"/>
        </w:rPr>
        <w:t>1</w:t>
      </w:r>
      <w:r>
        <w:rPr>
          <w:b/>
          <w:bCs/>
          <w:sz w:val="19"/>
          <w:szCs w:val="19"/>
          <w:lang w:val="en-IN" w:eastAsia="en-IN"/>
        </w:rPr>
        <w:t xml:space="preserve">, </w:t>
      </w:r>
      <w:r w:rsidRPr="00860049">
        <w:rPr>
          <w:b/>
          <w:bCs/>
          <w:sz w:val="19"/>
          <w:szCs w:val="19"/>
          <w:lang w:val="en-IN" w:eastAsia="en-IN"/>
        </w:rPr>
        <w:t>Chanpeng</w:t>
      </w:r>
      <w:r>
        <w:rPr>
          <w:b/>
          <w:bCs/>
          <w:sz w:val="19"/>
          <w:szCs w:val="19"/>
          <w:lang w:val="en-IN" w:eastAsia="en-IN"/>
        </w:rPr>
        <w:t xml:space="preserve"> P</w:t>
      </w:r>
      <w:r w:rsidR="003677FD" w:rsidRPr="003677FD">
        <w:rPr>
          <w:b/>
          <w:bCs/>
          <w:sz w:val="19"/>
          <w:szCs w:val="19"/>
          <w:vertAlign w:val="superscript"/>
          <w:lang w:val="en-IN" w:eastAsia="en-IN"/>
        </w:rPr>
        <w:t xml:space="preserve"> </w:t>
      </w:r>
      <w:r w:rsidR="003677FD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3677FD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>Waipanya S</w:t>
      </w:r>
      <w:r w:rsidR="003677FD" w:rsidRPr="003677FD">
        <w:rPr>
          <w:b/>
          <w:bCs/>
          <w:sz w:val="19"/>
          <w:szCs w:val="19"/>
          <w:vertAlign w:val="superscript"/>
          <w:lang w:val="en-IN" w:eastAsia="en-IN"/>
        </w:rPr>
        <w:t xml:space="preserve"> </w:t>
      </w:r>
      <w:r w:rsidR="003677FD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="003677FD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 xml:space="preserve"> and </w:t>
      </w:r>
      <w:r w:rsidRPr="00860049">
        <w:rPr>
          <w:b/>
          <w:bCs/>
          <w:sz w:val="19"/>
          <w:szCs w:val="19"/>
          <w:lang w:val="en-IN" w:eastAsia="en-IN"/>
        </w:rPr>
        <w:t>Kawamoto</w:t>
      </w:r>
      <w:r>
        <w:rPr>
          <w:b/>
          <w:bCs/>
          <w:sz w:val="19"/>
          <w:szCs w:val="19"/>
          <w:lang w:val="en-IN" w:eastAsia="en-IN"/>
        </w:rPr>
        <w:t xml:space="preserve"> Y</w:t>
      </w:r>
      <w:r w:rsidR="003677FD" w:rsidRPr="003677FD">
        <w:rPr>
          <w:b/>
          <w:bCs/>
          <w:sz w:val="19"/>
          <w:szCs w:val="19"/>
          <w:vertAlign w:val="superscript"/>
          <w:lang w:val="en-IN" w:eastAsia="en-IN"/>
        </w:rPr>
        <w:t xml:space="preserve"> </w:t>
      </w:r>
      <w:r w:rsidR="003677FD">
        <w:rPr>
          <w:b/>
          <w:bCs/>
          <w:sz w:val="19"/>
          <w:szCs w:val="19"/>
          <w:vertAlign w:val="superscript"/>
          <w:lang w:val="en-IN" w:eastAsia="en-IN"/>
        </w:rPr>
        <w:t>2</w:t>
      </w:r>
    </w:p>
    <w:p w:rsidR="001A52CE" w:rsidRPr="00351E9B" w:rsidRDefault="001A52CE" w:rsidP="001A52CE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="002851C2">
        <w:rPr>
          <w:sz w:val="19"/>
          <w:szCs w:val="19"/>
          <w:lang w:val="en-IN" w:eastAsia="en-IN"/>
        </w:rPr>
        <w:t>Bureau of Animal Nutrition Development, Depar</w:t>
      </w:r>
      <w:r w:rsidR="008534E3">
        <w:rPr>
          <w:sz w:val="19"/>
          <w:szCs w:val="19"/>
          <w:lang w:val="en-IN" w:eastAsia="en-IN"/>
        </w:rPr>
        <w:t xml:space="preserve">tment of Livestock Development, Pathumtani, </w:t>
      </w:r>
      <w:r w:rsidR="002851C2">
        <w:rPr>
          <w:sz w:val="19"/>
          <w:szCs w:val="19"/>
          <w:lang w:val="en-IN" w:eastAsia="en-IN"/>
        </w:rPr>
        <w:t>Thailand</w:t>
      </w:r>
    </w:p>
    <w:p w:rsidR="001A52CE" w:rsidRPr="00351E9B" w:rsidRDefault="001A52CE" w:rsidP="001A52CE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2</w:t>
      </w:r>
      <w:bookmarkStart w:id="1" w:name="a2"/>
      <w:bookmarkEnd w:id="1"/>
      <w:r w:rsidR="008534E3">
        <w:rPr>
          <w:sz w:val="19"/>
          <w:szCs w:val="19"/>
          <w:lang w:val="en-IN" w:eastAsia="en-IN"/>
        </w:rPr>
        <w:t>Faculty of Agriculture</w:t>
      </w:r>
      <w:r w:rsidRPr="00351E9B">
        <w:rPr>
          <w:sz w:val="19"/>
          <w:szCs w:val="19"/>
          <w:lang w:val="en-IN" w:eastAsia="en-IN"/>
        </w:rPr>
        <w:t xml:space="preserve">, </w:t>
      </w:r>
      <w:r w:rsidR="008534E3">
        <w:rPr>
          <w:sz w:val="19"/>
          <w:szCs w:val="19"/>
          <w:lang w:val="en-IN" w:eastAsia="en-IN"/>
        </w:rPr>
        <w:t>University of the Ryukyus, Okinawa, Thailand</w:t>
      </w:r>
    </w:p>
    <w:p w:rsidR="001A52CE" w:rsidRPr="00351E9B" w:rsidRDefault="001A52CE" w:rsidP="001A52CE">
      <w:pPr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rPr>
          <w:rFonts w:eastAsia="MS Mincho"/>
          <w:sz w:val="19"/>
          <w:szCs w:val="19"/>
        </w:rPr>
      </w:pPr>
    </w:p>
    <w:p w:rsidR="001A52CE" w:rsidRDefault="001A52CE" w:rsidP="00461996">
      <w:pPr>
        <w:jc w:val="left"/>
        <w:rPr>
          <w:rFonts w:eastAsia="MS Mincho"/>
          <w:sz w:val="19"/>
          <w:szCs w:val="19"/>
        </w:rPr>
      </w:pPr>
    </w:p>
    <w:p w:rsidR="001A52CE" w:rsidRPr="0005164C" w:rsidRDefault="001A52CE" w:rsidP="00461996">
      <w:pPr>
        <w:jc w:val="left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05164C" w:rsidRDefault="001A52CE" w:rsidP="00461996">
      <w:pPr>
        <w:pStyle w:val="keywords"/>
        <w:ind w:firstLine="0"/>
        <w:jc w:val="left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46199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Breeding, Forage 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46199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Nutritive value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9A3194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recurrent selection</w:t>
      </w:r>
    </w:p>
    <w:p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1A52CE" w:rsidRPr="0005164C" w:rsidRDefault="001A52CE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Body </w:t>
      </w:r>
    </w:p>
    <w:p w:rsidR="002D465D" w:rsidRDefault="00461996" w:rsidP="00461996">
      <w:pPr>
        <w:jc w:val="both"/>
        <w:rPr>
          <w:sz w:val="19"/>
          <w:szCs w:val="19"/>
          <w:lang w:val="en-IN" w:eastAsia="en-IN"/>
        </w:rPr>
      </w:pPr>
      <w:r w:rsidRPr="000842E1">
        <w:rPr>
          <w:i/>
          <w:iCs/>
          <w:sz w:val="19"/>
          <w:szCs w:val="19"/>
          <w:lang w:val="en-IN" w:eastAsia="en-IN"/>
        </w:rPr>
        <w:t>In vitro</w:t>
      </w:r>
      <w:r w:rsidRPr="00461996">
        <w:rPr>
          <w:sz w:val="19"/>
          <w:szCs w:val="19"/>
          <w:lang w:val="en-IN" w:eastAsia="en-IN"/>
        </w:rPr>
        <w:t xml:space="preserve"> dry matter digestibility (IVDMD) is the important character for</w:t>
      </w:r>
      <w:r w:rsidR="009A3194">
        <w:rPr>
          <w:sz w:val="19"/>
          <w:szCs w:val="19"/>
          <w:lang w:val="en-IN" w:eastAsia="en-IN"/>
        </w:rPr>
        <w:t xml:space="preserve"> tropical forage,</w:t>
      </w:r>
      <w:r w:rsidRPr="00461996">
        <w:rPr>
          <w:sz w:val="19"/>
          <w:szCs w:val="19"/>
          <w:lang w:val="en-IN" w:eastAsia="en-IN"/>
        </w:rPr>
        <w:t xml:space="preserve"> </w:t>
      </w:r>
      <w:r w:rsidRPr="009A3194">
        <w:rPr>
          <w:i/>
          <w:iCs/>
          <w:sz w:val="19"/>
          <w:szCs w:val="19"/>
          <w:lang w:val="en-IN" w:eastAsia="en-IN"/>
        </w:rPr>
        <w:t>Brachiaria</w:t>
      </w:r>
      <w:r w:rsidRPr="00461996">
        <w:rPr>
          <w:sz w:val="19"/>
          <w:szCs w:val="19"/>
          <w:lang w:val="en-IN" w:eastAsia="en-IN"/>
        </w:rPr>
        <w:t xml:space="preserve"> improvement</w:t>
      </w:r>
      <w:r w:rsidR="00885CF5">
        <w:rPr>
          <w:sz w:val="19"/>
          <w:szCs w:val="19"/>
          <w:lang w:val="en-IN" w:eastAsia="en-IN"/>
        </w:rPr>
        <w:t xml:space="preserve"> </w:t>
      </w:r>
      <w:r w:rsidR="00885CF5" w:rsidRPr="001609E2">
        <w:rPr>
          <w:sz w:val="19"/>
          <w:szCs w:val="19"/>
          <w:lang w:val="en-IN" w:eastAsia="en-IN"/>
        </w:rPr>
        <w:t>(</w:t>
      </w:r>
      <w:r w:rsidR="00441480">
        <w:rPr>
          <w:sz w:val="19"/>
          <w:szCs w:val="19"/>
          <w:lang w:val="en-IN" w:eastAsia="en-IN"/>
        </w:rPr>
        <w:t xml:space="preserve">Thaikua </w:t>
      </w:r>
      <w:r w:rsidR="00441480" w:rsidRPr="003504D5">
        <w:rPr>
          <w:i/>
          <w:iCs/>
          <w:sz w:val="19"/>
          <w:szCs w:val="19"/>
          <w:lang w:val="en-IN" w:eastAsia="en-IN"/>
        </w:rPr>
        <w:t>et al.</w:t>
      </w:r>
      <w:r w:rsidR="00441480">
        <w:rPr>
          <w:sz w:val="19"/>
          <w:szCs w:val="19"/>
          <w:lang w:val="en-IN" w:eastAsia="en-IN"/>
        </w:rPr>
        <w:t xml:space="preserve"> 2015</w:t>
      </w:r>
      <w:r w:rsidR="00885CF5" w:rsidRPr="001609E2">
        <w:rPr>
          <w:sz w:val="19"/>
          <w:szCs w:val="19"/>
          <w:lang w:val="en-IN" w:eastAsia="en-IN"/>
        </w:rPr>
        <w:t>)</w:t>
      </w:r>
      <w:r w:rsidRPr="00461996">
        <w:rPr>
          <w:sz w:val="19"/>
          <w:szCs w:val="19"/>
          <w:lang w:val="en-IN" w:eastAsia="en-IN"/>
        </w:rPr>
        <w:t>, and phenotypic recurrent selection is the effective practical method in breeding for increased IVDMD in open-pollinated forage crops</w:t>
      </w:r>
      <w:r w:rsidR="00885CF5">
        <w:rPr>
          <w:color w:val="FF0000"/>
          <w:sz w:val="19"/>
          <w:szCs w:val="19"/>
          <w:lang w:val="en-IN" w:eastAsia="en-IN"/>
        </w:rPr>
        <w:t xml:space="preserve"> </w:t>
      </w:r>
      <w:r w:rsidR="00F9496F" w:rsidRPr="00F9496F">
        <w:rPr>
          <w:sz w:val="19"/>
          <w:szCs w:val="19"/>
          <w:lang w:val="en-IN" w:eastAsia="en-IN"/>
        </w:rPr>
        <w:t>(Burson and Young 2001)</w:t>
      </w:r>
      <w:r w:rsidR="00885CF5" w:rsidRPr="00F9496F">
        <w:rPr>
          <w:sz w:val="19"/>
          <w:szCs w:val="19"/>
          <w:lang w:val="en-IN" w:eastAsia="en-IN"/>
        </w:rPr>
        <w:t>,</w:t>
      </w:r>
      <w:r w:rsidRPr="00F9496F">
        <w:rPr>
          <w:sz w:val="19"/>
          <w:szCs w:val="19"/>
          <w:lang w:val="en-IN" w:eastAsia="en-IN"/>
        </w:rPr>
        <w:t xml:space="preserve"> </w:t>
      </w:r>
      <w:r w:rsidRPr="00461996">
        <w:rPr>
          <w:sz w:val="19"/>
          <w:szCs w:val="19"/>
          <w:lang w:val="en-IN" w:eastAsia="en-IN"/>
        </w:rPr>
        <w:t xml:space="preserve">The available variance within breeding population is the indicator of the possibility of the successful improvement.   Ten genotypes of diploid </w:t>
      </w:r>
      <w:r w:rsidRPr="009A3194">
        <w:rPr>
          <w:i/>
          <w:iCs/>
          <w:sz w:val="19"/>
          <w:szCs w:val="19"/>
          <w:lang w:val="en-IN" w:eastAsia="en-IN"/>
        </w:rPr>
        <w:t>B. ruziziensis</w:t>
      </w:r>
      <w:r w:rsidR="009A3194">
        <w:rPr>
          <w:sz w:val="19"/>
          <w:szCs w:val="19"/>
          <w:lang w:val="en-IN" w:eastAsia="en-IN"/>
        </w:rPr>
        <w:t xml:space="preserve"> </w:t>
      </w:r>
      <w:r w:rsidRPr="00461996">
        <w:rPr>
          <w:sz w:val="19"/>
          <w:szCs w:val="19"/>
          <w:lang w:val="en-IN" w:eastAsia="en-IN"/>
        </w:rPr>
        <w:t xml:space="preserve">(Thai population) and 10 genotypes of tetraploid ‘Okinawa-1’ </w:t>
      </w:r>
      <w:r w:rsidR="000842E1" w:rsidRPr="00F2607B">
        <w:rPr>
          <w:sz w:val="19"/>
          <w:szCs w:val="19"/>
          <w:lang w:val="en-IN" w:eastAsia="en-IN"/>
        </w:rPr>
        <w:t>(</w:t>
      </w:r>
      <w:r w:rsidR="00F9496F" w:rsidRPr="00F2607B">
        <w:rPr>
          <w:sz w:val="19"/>
          <w:szCs w:val="19"/>
          <w:lang w:val="en-IN" w:eastAsia="en-IN"/>
        </w:rPr>
        <w:t xml:space="preserve">Ishigaki </w:t>
      </w:r>
      <w:r w:rsidR="00F9496F" w:rsidRPr="00F2607B">
        <w:rPr>
          <w:i/>
          <w:iCs/>
          <w:sz w:val="19"/>
          <w:szCs w:val="19"/>
          <w:lang w:val="en-IN" w:eastAsia="en-IN"/>
        </w:rPr>
        <w:t>et. al</w:t>
      </w:r>
      <w:r w:rsidR="00F9496F" w:rsidRPr="00F2607B">
        <w:rPr>
          <w:sz w:val="19"/>
          <w:szCs w:val="19"/>
          <w:lang w:val="en-IN" w:eastAsia="en-IN"/>
        </w:rPr>
        <w:t>. 2009</w:t>
      </w:r>
      <w:r w:rsidR="000842E1" w:rsidRPr="00F2607B">
        <w:rPr>
          <w:sz w:val="19"/>
          <w:szCs w:val="19"/>
          <w:lang w:val="en-IN" w:eastAsia="en-IN"/>
        </w:rPr>
        <w:t xml:space="preserve">) </w:t>
      </w:r>
      <w:r w:rsidRPr="00461996">
        <w:rPr>
          <w:sz w:val="19"/>
          <w:szCs w:val="19"/>
          <w:lang w:val="en-IN" w:eastAsia="en-IN"/>
        </w:rPr>
        <w:t>were evaluated in completely randomized design with 2 replications. Each genotype was clonal propagated by stolon with roots, and grew in 20 cmx20cm culture plastic pot containing sand, with 8 cm depth. Plants was supplied by water every day, and enriched fluid nutrient (21-21-21) were applied once a week. All plants were cut for adjustment at 1 month after planting. The average shoots of each plant were collected at 5 weeks after the cut. Each sample was oven dried at 65°C for 48 hours, and ground to pass through a 0.5 mm mesh screen. Pepsin-cellulase method was ut</w:t>
      </w:r>
      <w:r w:rsidR="000842E1">
        <w:rPr>
          <w:sz w:val="19"/>
          <w:szCs w:val="19"/>
          <w:lang w:val="en-IN" w:eastAsia="en-IN"/>
        </w:rPr>
        <w:t xml:space="preserve">ilized for IVDMD determination. </w:t>
      </w:r>
      <w:r w:rsidRPr="00461996">
        <w:rPr>
          <w:sz w:val="19"/>
          <w:szCs w:val="19"/>
          <w:lang w:val="en-IN" w:eastAsia="en-IN"/>
        </w:rPr>
        <w:t xml:space="preserve">Analysis of variances showed the significant difference of IVDMD within both populations, with the P-value less than 0.0001 for </w:t>
      </w:r>
      <w:r w:rsidR="000842E1">
        <w:rPr>
          <w:sz w:val="19"/>
          <w:szCs w:val="19"/>
          <w:lang w:val="en-IN" w:eastAsia="en-IN"/>
        </w:rPr>
        <w:t>diploid population</w:t>
      </w:r>
      <w:r w:rsidRPr="00461996">
        <w:rPr>
          <w:sz w:val="19"/>
          <w:szCs w:val="19"/>
          <w:lang w:val="en-IN" w:eastAsia="en-IN"/>
        </w:rPr>
        <w:t xml:space="preserve"> and 0.0471 for </w:t>
      </w:r>
      <w:r w:rsidR="000842E1">
        <w:rPr>
          <w:sz w:val="19"/>
          <w:szCs w:val="19"/>
          <w:lang w:val="en-IN" w:eastAsia="en-IN"/>
        </w:rPr>
        <w:t>tetraploid group</w:t>
      </w:r>
      <w:r w:rsidRPr="00461996">
        <w:rPr>
          <w:sz w:val="19"/>
          <w:szCs w:val="19"/>
          <w:lang w:val="en-IN" w:eastAsia="en-IN"/>
        </w:rPr>
        <w:t xml:space="preserve">. </w:t>
      </w:r>
      <w:r w:rsidR="000842E1" w:rsidRPr="000842E1">
        <w:rPr>
          <w:i/>
          <w:iCs/>
          <w:sz w:val="19"/>
          <w:szCs w:val="19"/>
          <w:lang w:val="en-IN" w:eastAsia="en-IN"/>
        </w:rPr>
        <w:t>In vitro</w:t>
      </w:r>
      <w:r w:rsidR="000842E1" w:rsidRPr="00461996">
        <w:rPr>
          <w:sz w:val="19"/>
          <w:szCs w:val="19"/>
          <w:lang w:val="en-IN" w:eastAsia="en-IN"/>
        </w:rPr>
        <w:t xml:space="preserve"> dry matter digestibility</w:t>
      </w:r>
      <w:r w:rsidRPr="00461996">
        <w:rPr>
          <w:sz w:val="19"/>
          <w:szCs w:val="19"/>
          <w:lang w:val="en-IN" w:eastAsia="en-IN"/>
        </w:rPr>
        <w:t xml:space="preserve"> means with homogeneous group (Tukey test) of </w:t>
      </w:r>
      <w:r w:rsidR="000842E1">
        <w:rPr>
          <w:sz w:val="19"/>
          <w:szCs w:val="19"/>
          <w:lang w:val="en-IN" w:eastAsia="en-IN"/>
        </w:rPr>
        <w:t>the first population</w:t>
      </w:r>
      <w:r w:rsidRPr="00461996">
        <w:rPr>
          <w:sz w:val="19"/>
          <w:szCs w:val="19"/>
          <w:lang w:val="en-IN" w:eastAsia="en-IN"/>
        </w:rPr>
        <w:t xml:space="preserve"> was 77.5 A, 76.5 AB, 76.2 ABC, 76.0 ABCD, 75.0 BCDE, 74.6 CDE, 74.4 DE, 74.0 E, 73.8 E, and 72.0 F, while that of </w:t>
      </w:r>
      <w:r w:rsidR="000842E1">
        <w:rPr>
          <w:sz w:val="19"/>
          <w:szCs w:val="19"/>
          <w:lang w:val="en-IN" w:eastAsia="en-IN"/>
        </w:rPr>
        <w:t>the second population</w:t>
      </w:r>
      <w:r w:rsidRPr="00461996">
        <w:rPr>
          <w:sz w:val="19"/>
          <w:szCs w:val="19"/>
          <w:lang w:val="en-IN" w:eastAsia="en-IN"/>
        </w:rPr>
        <w:t xml:space="preserve"> was 77.6 A, 75.0 AB, 74.9 AB, 74.4 AB, 73.6 AB, 73.4 AB, 72.4 AB, 72.2 AB, 71.6 AB, 70.9 B. However, there was no significant different</w:t>
      </w:r>
      <w:r w:rsidR="000842E1">
        <w:rPr>
          <w:sz w:val="19"/>
          <w:szCs w:val="19"/>
          <w:lang w:val="en-IN" w:eastAsia="en-IN"/>
        </w:rPr>
        <w:t xml:space="preserve"> on</w:t>
      </w:r>
      <w:r w:rsidR="00F44001">
        <w:rPr>
          <w:sz w:val="19"/>
          <w:szCs w:val="19"/>
          <w:lang w:val="en-IN" w:eastAsia="en-IN"/>
        </w:rPr>
        <w:t xml:space="preserve"> </w:t>
      </w:r>
      <w:r w:rsidR="000842E1">
        <w:rPr>
          <w:sz w:val="19"/>
          <w:szCs w:val="19"/>
          <w:lang w:val="en-IN" w:eastAsia="en-IN"/>
        </w:rPr>
        <w:t>IVDMD</w:t>
      </w:r>
      <w:r w:rsidRPr="00461996">
        <w:rPr>
          <w:sz w:val="19"/>
          <w:szCs w:val="19"/>
          <w:lang w:val="en-IN" w:eastAsia="en-IN"/>
        </w:rPr>
        <w:t xml:space="preserve"> between 2 populations (P=0.0966). This study revealed that it is possible </w:t>
      </w:r>
      <w:r w:rsidR="000842E1">
        <w:rPr>
          <w:sz w:val="19"/>
          <w:szCs w:val="19"/>
          <w:lang w:val="en-IN" w:eastAsia="en-IN"/>
        </w:rPr>
        <w:t>in</w:t>
      </w:r>
      <w:r w:rsidRPr="00461996">
        <w:rPr>
          <w:sz w:val="19"/>
          <w:szCs w:val="19"/>
          <w:lang w:val="en-IN" w:eastAsia="en-IN"/>
        </w:rPr>
        <w:t xml:space="preserve"> population improvement for increased IVDMD in both populations. </w:t>
      </w:r>
    </w:p>
    <w:p w:rsidR="001A52CE" w:rsidRDefault="00461996" w:rsidP="00461996">
      <w:pPr>
        <w:jc w:val="both"/>
        <w:rPr>
          <w:sz w:val="19"/>
          <w:szCs w:val="19"/>
          <w:lang w:val="en-IN" w:eastAsia="en-IN"/>
        </w:rPr>
      </w:pPr>
      <w:r w:rsidRPr="00461996">
        <w:rPr>
          <w:sz w:val="19"/>
          <w:szCs w:val="19"/>
          <w:lang w:val="en-IN" w:eastAsia="en-IN"/>
        </w:rPr>
        <w:t xml:space="preserve"> </w:t>
      </w:r>
    </w:p>
    <w:p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F44001" w:rsidP="001A52CE">
      <w:pPr>
        <w:pStyle w:val="a3"/>
        <w:ind w:firstLine="0"/>
        <w:rPr>
          <w:sz w:val="19"/>
          <w:szCs w:val="19"/>
        </w:rPr>
      </w:pPr>
      <w:r>
        <w:rPr>
          <w:rFonts w:hint="eastAsia"/>
          <w:noProof/>
          <w:sz w:val="19"/>
          <w:szCs w:val="19"/>
          <w:lang w:eastAsia="ja-JP" w:bidi="th-TH"/>
        </w:rPr>
        <w:drawing>
          <wp:inline distT="0" distB="0" distL="0" distR="0">
            <wp:extent cx="1733550" cy="1300164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546" cy="1307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2CE" w:rsidRPr="0005164C" w:rsidRDefault="001A52CE" w:rsidP="001A52CE">
      <w:pPr>
        <w:pStyle w:val="a3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F2607B" w:rsidRDefault="00F2607B" w:rsidP="00F2607B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bookmarkStart w:id="2" w:name="2"/>
      <w:bookmarkEnd w:id="2"/>
      <w:r>
        <w:rPr>
          <w:sz w:val="19"/>
          <w:szCs w:val="19"/>
          <w:lang w:val="en-IN" w:eastAsia="en-IN"/>
        </w:rPr>
        <w:t xml:space="preserve">Burson, </w:t>
      </w:r>
      <w:r w:rsidRPr="00F2607B">
        <w:rPr>
          <w:sz w:val="19"/>
          <w:szCs w:val="19"/>
          <w:lang w:val="en-IN" w:eastAsia="en-IN"/>
        </w:rPr>
        <w:t>B</w:t>
      </w:r>
      <w:r w:rsidR="0071340E">
        <w:rPr>
          <w:sz w:val="19"/>
          <w:szCs w:val="19"/>
          <w:lang w:val="en-IN" w:eastAsia="en-IN"/>
        </w:rPr>
        <w:t>.</w:t>
      </w:r>
      <w:r w:rsidRPr="00F2607B">
        <w:rPr>
          <w:sz w:val="19"/>
          <w:szCs w:val="19"/>
          <w:lang w:val="en-IN" w:eastAsia="en-IN"/>
        </w:rPr>
        <w:t>L</w:t>
      </w:r>
      <w:r>
        <w:rPr>
          <w:sz w:val="19"/>
          <w:szCs w:val="19"/>
          <w:lang w:val="en-IN" w:eastAsia="en-IN"/>
        </w:rPr>
        <w:t xml:space="preserve">. </w:t>
      </w:r>
      <w:r w:rsidR="0071340E">
        <w:rPr>
          <w:sz w:val="19"/>
          <w:szCs w:val="19"/>
          <w:lang w:val="en-IN" w:eastAsia="en-IN"/>
        </w:rPr>
        <w:t>a</w:t>
      </w:r>
      <w:r>
        <w:rPr>
          <w:sz w:val="19"/>
          <w:szCs w:val="19"/>
          <w:lang w:val="en-IN" w:eastAsia="en-IN"/>
        </w:rPr>
        <w:t>nd</w:t>
      </w:r>
      <w:r w:rsidRPr="00F2607B">
        <w:rPr>
          <w:sz w:val="19"/>
          <w:szCs w:val="19"/>
          <w:lang w:val="en-IN" w:eastAsia="en-IN"/>
        </w:rPr>
        <w:t xml:space="preserve"> </w:t>
      </w:r>
      <w:r w:rsidRPr="00F2607B">
        <w:rPr>
          <w:sz w:val="19"/>
          <w:szCs w:val="19"/>
          <w:lang w:val="en-IN" w:eastAsia="en-IN"/>
        </w:rPr>
        <w:t>B</w:t>
      </w:r>
      <w:r>
        <w:rPr>
          <w:sz w:val="19"/>
          <w:szCs w:val="19"/>
          <w:lang w:val="en-IN" w:eastAsia="en-IN"/>
        </w:rPr>
        <w:t>.</w:t>
      </w:r>
      <w:r w:rsidRPr="00F2607B">
        <w:rPr>
          <w:sz w:val="19"/>
          <w:szCs w:val="19"/>
          <w:lang w:val="en-IN" w:eastAsia="en-IN"/>
        </w:rPr>
        <w:t>A</w:t>
      </w:r>
      <w:r>
        <w:rPr>
          <w:sz w:val="19"/>
          <w:szCs w:val="19"/>
          <w:lang w:val="en-IN" w:eastAsia="en-IN"/>
        </w:rPr>
        <w:t>.</w:t>
      </w:r>
      <w:r w:rsidRPr="00F2607B">
        <w:rPr>
          <w:sz w:val="19"/>
          <w:szCs w:val="19"/>
          <w:lang w:val="en-IN" w:eastAsia="en-IN"/>
        </w:rPr>
        <w:t>Young</w:t>
      </w:r>
      <w:r>
        <w:rPr>
          <w:sz w:val="19"/>
          <w:szCs w:val="19"/>
          <w:lang w:val="en-IN" w:eastAsia="en-IN"/>
        </w:rPr>
        <w:t>, 2001.</w:t>
      </w:r>
      <w:r w:rsidRPr="00F2607B">
        <w:rPr>
          <w:sz w:val="19"/>
          <w:szCs w:val="19"/>
          <w:lang w:val="en-IN" w:eastAsia="en-IN"/>
        </w:rPr>
        <w:t xml:space="preserve"> Breeding and improvement of tropical grasses. In: Tropical forage plants: Development and Use (Eds Sotomayor-Ríos A, Pitman WD), CRC Press LLC, Boca Raton, 59–79.</w:t>
      </w:r>
    </w:p>
    <w:p w:rsidR="001A52CE" w:rsidRDefault="00441480" w:rsidP="00E9238D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E9238D">
        <w:rPr>
          <w:sz w:val="19"/>
          <w:szCs w:val="19"/>
          <w:lang w:val="en-IN" w:eastAsia="en-IN"/>
        </w:rPr>
        <w:t>Ishigaki G, Gondo T, Suenaga K, Akashi R (2009) Induction of tetraploid ruzigrass (Brachiaria ruziziensis) plants by colchicine treatment of in vitro multiple-shoot clumps and seedlings. Grassl Sci 55: 164–170.</w:t>
      </w:r>
    </w:p>
    <w:p w:rsidR="003504D5" w:rsidRPr="00E9238D" w:rsidRDefault="003504D5" w:rsidP="00E9238D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E9238D">
        <w:rPr>
          <w:sz w:val="19"/>
          <w:szCs w:val="19"/>
          <w:lang w:val="en-IN" w:eastAsia="en-IN"/>
        </w:rPr>
        <w:t xml:space="preserve">Thaikua, S., M. Ebina, K. Kouki, M. Inafuku, H. Akamine,  K. Shimoda,  K. Suenaga and Y. Kawamoto, 2015. Preliminary evaluation on digestibility and the relation to morphology and water content of </w:t>
      </w:r>
      <w:r w:rsidRPr="00E9238D">
        <w:rPr>
          <w:i/>
          <w:iCs/>
          <w:sz w:val="19"/>
          <w:szCs w:val="19"/>
          <w:lang w:val="en-IN" w:eastAsia="en-IN"/>
        </w:rPr>
        <w:t>Brachiaria spp</w:t>
      </w:r>
      <w:r w:rsidRPr="00E9238D">
        <w:rPr>
          <w:sz w:val="19"/>
          <w:szCs w:val="19"/>
          <w:lang w:val="en-IN" w:eastAsia="en-IN"/>
        </w:rPr>
        <w:t>. and their heritability. Grassl Sci. 61(2): 92−100.</w:t>
      </w:r>
    </w:p>
    <w:p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1A52CE" w:rsidRDefault="00FC4E54" w:rsidP="001A52CE">
      <w:pPr>
        <w:jc w:val="both"/>
        <w:rPr>
          <w:rFonts w:eastAsia="MS PGothic"/>
          <w:b/>
          <w:sz w:val="19"/>
          <w:szCs w:val="19"/>
        </w:rPr>
      </w:pPr>
      <w:r w:rsidRPr="00FC4E54">
        <w:rPr>
          <w:sz w:val="19"/>
          <w:szCs w:val="19"/>
        </w:rPr>
        <w:t>Sarayut Thaikua studied Biology at Ramkhamheang University, Thailand and graduated as BS in 1996</w:t>
      </w:r>
      <w:r w:rsidR="00BD77FD">
        <w:rPr>
          <w:sz w:val="19"/>
          <w:szCs w:val="19"/>
        </w:rPr>
        <w:t>.</w:t>
      </w:r>
      <w:r w:rsidRPr="00FC4E54">
        <w:rPr>
          <w:sz w:val="19"/>
          <w:szCs w:val="19"/>
        </w:rPr>
        <w:t xml:space="preserve"> In 2005, he studied Plant breeding at Khonkaen University, Thailand and graduated as MS in 2009. </w:t>
      </w:r>
      <w:r w:rsidR="00BD77FD">
        <w:rPr>
          <w:sz w:val="19"/>
          <w:szCs w:val="19"/>
        </w:rPr>
        <w:t>After that h</w:t>
      </w:r>
      <w:r w:rsidRPr="00FC4E54">
        <w:rPr>
          <w:sz w:val="19"/>
          <w:szCs w:val="19"/>
        </w:rPr>
        <w:t>e got the scholarship from Royal Thai government for Ph</w:t>
      </w:r>
      <w:r w:rsidR="00B37176">
        <w:rPr>
          <w:sz w:val="19"/>
          <w:szCs w:val="19"/>
        </w:rPr>
        <w:t>.</w:t>
      </w:r>
      <w:r w:rsidRPr="00FC4E54">
        <w:rPr>
          <w:sz w:val="19"/>
          <w:szCs w:val="19"/>
        </w:rPr>
        <w:t>D</w:t>
      </w:r>
      <w:r w:rsidR="00B37176">
        <w:rPr>
          <w:sz w:val="19"/>
          <w:szCs w:val="19"/>
        </w:rPr>
        <w:t>.</w:t>
      </w:r>
      <w:r w:rsidRPr="00FC4E54">
        <w:rPr>
          <w:sz w:val="19"/>
          <w:szCs w:val="19"/>
        </w:rPr>
        <w:t>, and he received his Ph.D.</w:t>
      </w:r>
      <w:r w:rsidR="005C70B7">
        <w:rPr>
          <w:sz w:val="19"/>
          <w:szCs w:val="19"/>
        </w:rPr>
        <w:t xml:space="preserve"> in</w:t>
      </w:r>
      <w:r w:rsidRPr="00FC4E54">
        <w:rPr>
          <w:sz w:val="19"/>
          <w:szCs w:val="19"/>
        </w:rPr>
        <w:t xml:space="preserve"> Science of Bioresource Production (Pasture Science) at Kagoshima University, Japan in</w:t>
      </w:r>
      <w:r w:rsidR="00BD77FD">
        <w:rPr>
          <w:sz w:val="19"/>
          <w:szCs w:val="19"/>
        </w:rPr>
        <w:t xml:space="preserve"> 2015, with supervised by Prof.</w:t>
      </w:r>
      <w:r w:rsidRPr="00FC4E54">
        <w:rPr>
          <w:sz w:val="19"/>
          <w:szCs w:val="19"/>
        </w:rPr>
        <w:t>Yasuhiro Kawamoto.</w:t>
      </w:r>
      <w:r w:rsidR="003F66FE">
        <w:rPr>
          <w:sz w:val="19"/>
          <w:szCs w:val="19"/>
        </w:rPr>
        <w:t xml:space="preserve"> Then he return</w:t>
      </w:r>
      <w:r w:rsidR="00A77C64">
        <w:rPr>
          <w:sz w:val="19"/>
          <w:szCs w:val="19"/>
        </w:rPr>
        <w:t>ed</w:t>
      </w:r>
      <w:r w:rsidR="003F66FE">
        <w:rPr>
          <w:sz w:val="19"/>
          <w:szCs w:val="19"/>
        </w:rPr>
        <w:t xml:space="preserve"> to Thailand</w:t>
      </w:r>
      <w:r w:rsidR="005C70B7">
        <w:rPr>
          <w:sz w:val="19"/>
          <w:szCs w:val="19"/>
        </w:rPr>
        <w:t xml:space="preserve">, </w:t>
      </w:r>
      <w:r w:rsidR="003F66FE">
        <w:rPr>
          <w:sz w:val="19"/>
          <w:szCs w:val="19"/>
        </w:rPr>
        <w:t>and</w:t>
      </w:r>
      <w:r w:rsidR="005C70B7">
        <w:rPr>
          <w:sz w:val="19"/>
          <w:szCs w:val="19"/>
        </w:rPr>
        <w:t xml:space="preserve"> he</w:t>
      </w:r>
      <w:r w:rsidR="003F66FE">
        <w:rPr>
          <w:sz w:val="19"/>
          <w:szCs w:val="19"/>
        </w:rPr>
        <w:t xml:space="preserve"> has been worked</w:t>
      </w:r>
      <w:r w:rsidR="00BD77FD">
        <w:rPr>
          <w:sz w:val="19"/>
          <w:szCs w:val="19"/>
        </w:rPr>
        <w:t xml:space="preserve"> at Bureau of Animal Nutrition Development, Depar</w:t>
      </w:r>
      <w:r w:rsidR="000258F6">
        <w:rPr>
          <w:sz w:val="19"/>
          <w:szCs w:val="19"/>
        </w:rPr>
        <w:t xml:space="preserve">tment of Livestock Development in </w:t>
      </w:r>
      <w:r w:rsidR="00AA1E2A">
        <w:rPr>
          <w:sz w:val="19"/>
          <w:szCs w:val="19"/>
        </w:rPr>
        <w:t>Thailand</w:t>
      </w:r>
      <w:r w:rsidR="00BD77FD">
        <w:rPr>
          <w:sz w:val="19"/>
          <w:szCs w:val="19"/>
        </w:rPr>
        <w:t xml:space="preserve"> focusing on forage crop breeding</w:t>
      </w:r>
    </w:p>
    <w:p w:rsidR="00BD77FD" w:rsidRPr="0005164C" w:rsidRDefault="00BD77FD" w:rsidP="001A52CE">
      <w:pPr>
        <w:jc w:val="both"/>
        <w:rPr>
          <w:rFonts w:eastAsia="MS PGothic"/>
          <w:b/>
          <w:sz w:val="19"/>
          <w:szCs w:val="19"/>
        </w:rPr>
      </w:pPr>
    </w:p>
    <w:p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2557FC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eastAsia="ja-JP" w:bidi="th-TH"/>
        </w:rPr>
        <w:drawing>
          <wp:inline distT="0" distB="0" distL="0" distR="0" wp14:anchorId="5416C84F">
            <wp:extent cx="1029245" cy="923925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32" b="17615"/>
                    <a:stretch/>
                  </pic:blipFill>
                  <pic:spPr bwMode="auto">
                    <a:xfrm>
                      <a:off x="0" y="0"/>
                      <a:ext cx="1066080" cy="95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A52CE" w:rsidRPr="0005164C">
        <w:rPr>
          <w:sz w:val="19"/>
          <w:szCs w:val="19"/>
          <w:lang w:val="en-NZ"/>
        </w:rPr>
        <w:br/>
      </w:r>
    </w:p>
    <w:p w:rsidR="001A52CE" w:rsidRPr="00515A59" w:rsidRDefault="001A52CE" w:rsidP="001A52CE">
      <w:pPr>
        <w:autoSpaceDE w:val="0"/>
        <w:autoSpaceDN w:val="0"/>
        <w:adjustRightInd w:val="0"/>
        <w:jc w:val="left"/>
        <w:rPr>
          <w:rFonts w:cstheme="minorBidi" w:hint="cs"/>
          <w:sz w:val="19"/>
          <w:szCs w:val="24"/>
          <w:cs/>
          <w:lang w:val="en-NZ" w:bidi="th-TH"/>
        </w:rPr>
      </w:pPr>
      <w:r w:rsidRPr="0005164C">
        <w:rPr>
          <w:sz w:val="19"/>
          <w:szCs w:val="19"/>
          <w:lang w:val="en-NZ"/>
        </w:rPr>
        <w:t>Full Name:</w:t>
      </w:r>
      <w:r w:rsidR="00446E94">
        <w:rPr>
          <w:sz w:val="19"/>
          <w:szCs w:val="19"/>
          <w:lang w:val="en-NZ"/>
        </w:rPr>
        <w:t xml:space="preserve"> Sarayut Thaikua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2557FC">
        <w:rPr>
          <w:sz w:val="19"/>
          <w:szCs w:val="19"/>
          <w:lang w:val="en-NZ"/>
        </w:rPr>
        <w:t xml:space="preserve"> </w:t>
      </w:r>
      <w:r w:rsidR="002557FC" w:rsidRPr="002557FC">
        <w:rPr>
          <w:sz w:val="19"/>
          <w:szCs w:val="19"/>
          <w:lang w:val="en-NZ"/>
        </w:rPr>
        <w:t>:+66634120905</w:t>
      </w:r>
      <w:r w:rsidRPr="0005164C">
        <w:rPr>
          <w:sz w:val="19"/>
          <w:szCs w:val="19"/>
          <w:lang w:val="en-NZ"/>
        </w:rPr>
        <w:br/>
        <w:t>Twitter account:</w:t>
      </w:r>
      <w:r w:rsidR="002557FC">
        <w:rPr>
          <w:sz w:val="19"/>
          <w:szCs w:val="19"/>
          <w:lang w:val="en-NZ"/>
        </w:rPr>
        <w:t xml:space="preserve"> </w:t>
      </w:r>
      <w:r w:rsidR="002557FC" w:rsidRPr="002557FC">
        <w:rPr>
          <w:sz w:val="19"/>
          <w:szCs w:val="19"/>
          <w:lang w:val="en-NZ"/>
        </w:rPr>
        <w:t>@nokatha</w:t>
      </w:r>
      <w:r w:rsidRPr="0005164C">
        <w:rPr>
          <w:sz w:val="19"/>
          <w:szCs w:val="19"/>
          <w:lang w:val="en-NZ"/>
        </w:rPr>
        <w:br/>
        <w:t>Linked In account:</w:t>
      </w:r>
      <w:r w:rsidR="002557FC">
        <w:rPr>
          <w:b/>
          <w:sz w:val="19"/>
          <w:szCs w:val="19"/>
          <w:lang w:val="en-NZ"/>
        </w:rPr>
        <w:t xml:space="preserve"> </w:t>
      </w:r>
      <w:r w:rsidR="002557FC" w:rsidRPr="00BA17DB">
        <w:rPr>
          <w:bCs/>
          <w:sz w:val="19"/>
          <w:szCs w:val="19"/>
          <w:lang w:val="en-NZ"/>
        </w:rPr>
        <w:t>Sarayut Thaikua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</w:t>
      </w:r>
      <w:r w:rsidR="000842E1">
        <w:rPr>
          <w:sz w:val="19"/>
          <w:szCs w:val="19"/>
          <w:lang w:val="en-NZ"/>
        </w:rPr>
        <w:t>:</w:t>
      </w:r>
      <w:r w:rsidR="007B1A2C">
        <w:rPr>
          <w:sz w:val="19"/>
          <w:szCs w:val="19"/>
          <w:lang w:val="en-NZ"/>
        </w:rPr>
        <w:t xml:space="preserve"> Agricultural Science</w:t>
      </w:r>
      <w:r w:rsidR="000842E1">
        <w:rPr>
          <w:sz w:val="19"/>
          <w:szCs w:val="19"/>
          <w:lang w:val="en-NZ"/>
        </w:rPr>
        <w:br/>
        <w:t xml:space="preserve">Category: (E </w:t>
      </w:r>
      <w:r w:rsidRPr="0005164C">
        <w:rPr>
          <w:sz w:val="19"/>
          <w:szCs w:val="19"/>
          <w:lang w:val="en-NZ"/>
        </w:rPr>
        <w:t>Poster presentation)</w:t>
      </w:r>
    </w:p>
    <w:p w:rsidR="00803340" w:rsidRDefault="001A52CE" w:rsidP="00635EA4">
      <w:pPr>
        <w:autoSpaceDE w:val="0"/>
        <w:autoSpaceDN w:val="0"/>
        <w:adjustRightInd w:val="0"/>
        <w:jc w:val="left"/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6C3A24">
        <w:t>OF1130997</w:t>
      </w:r>
      <w:bookmarkStart w:id="3" w:name="_GoBack"/>
      <w:bookmarkEnd w:id="3"/>
    </w:p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A4A" w:rsidRDefault="004E5A4A" w:rsidP="00860049">
      <w:r>
        <w:separator/>
      </w:r>
    </w:p>
  </w:endnote>
  <w:endnote w:type="continuationSeparator" w:id="0">
    <w:p w:rsidR="004E5A4A" w:rsidRDefault="004E5A4A" w:rsidP="00860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A4A" w:rsidRDefault="004E5A4A" w:rsidP="00860049">
      <w:r>
        <w:separator/>
      </w:r>
    </w:p>
  </w:footnote>
  <w:footnote w:type="continuationSeparator" w:id="0">
    <w:p w:rsidR="004E5A4A" w:rsidRDefault="004E5A4A" w:rsidP="008600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2CE"/>
    <w:rsid w:val="000258F6"/>
    <w:rsid w:val="000842E1"/>
    <w:rsid w:val="000C7866"/>
    <w:rsid w:val="00145D77"/>
    <w:rsid w:val="001609E2"/>
    <w:rsid w:val="001A52CE"/>
    <w:rsid w:val="002557FC"/>
    <w:rsid w:val="002851C2"/>
    <w:rsid w:val="002D465D"/>
    <w:rsid w:val="003504D5"/>
    <w:rsid w:val="003677FD"/>
    <w:rsid w:val="003F66FE"/>
    <w:rsid w:val="00441480"/>
    <w:rsid w:val="00446E94"/>
    <w:rsid w:val="00461996"/>
    <w:rsid w:val="004E5A4A"/>
    <w:rsid w:val="00515A59"/>
    <w:rsid w:val="005C70B7"/>
    <w:rsid w:val="006334DB"/>
    <w:rsid w:val="00635EA4"/>
    <w:rsid w:val="006C3A24"/>
    <w:rsid w:val="0071340E"/>
    <w:rsid w:val="00755504"/>
    <w:rsid w:val="007B1A2C"/>
    <w:rsid w:val="008534E3"/>
    <w:rsid w:val="00860049"/>
    <w:rsid w:val="00885CF5"/>
    <w:rsid w:val="009A3194"/>
    <w:rsid w:val="00A77C64"/>
    <w:rsid w:val="00A87181"/>
    <w:rsid w:val="00AA1E2A"/>
    <w:rsid w:val="00B00536"/>
    <w:rsid w:val="00B37176"/>
    <w:rsid w:val="00BA17DB"/>
    <w:rsid w:val="00BD3ACD"/>
    <w:rsid w:val="00BD77FD"/>
    <w:rsid w:val="00CC12DC"/>
    <w:rsid w:val="00E72140"/>
    <w:rsid w:val="00E9238D"/>
    <w:rsid w:val="00EA4259"/>
    <w:rsid w:val="00F021BF"/>
    <w:rsid w:val="00F2607B"/>
    <w:rsid w:val="00F44001"/>
    <w:rsid w:val="00F9496F"/>
    <w:rsid w:val="00FC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B24381D-BF70-4B51-A9E9-70C94976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a3">
    <w:name w:val="Body Text"/>
    <w:basedOn w:val="a"/>
    <w:link w:val="a4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a4">
    <w:name w:val="本文 (文字)"/>
    <w:basedOn w:val="a0"/>
    <w:link w:val="a3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a6">
    <w:name w:val="吹き出し (文字)"/>
    <w:basedOn w:val="a0"/>
    <w:link w:val="a5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paragraph" w:styleId="a7">
    <w:name w:val="header"/>
    <w:basedOn w:val="a"/>
    <w:link w:val="a8"/>
    <w:uiPriority w:val="99"/>
    <w:unhideWhenUsed/>
    <w:rsid w:val="00860049"/>
    <w:pPr>
      <w:tabs>
        <w:tab w:val="center" w:pos="4513"/>
        <w:tab w:val="right" w:pos="9026"/>
      </w:tabs>
    </w:pPr>
  </w:style>
  <w:style w:type="character" w:customStyle="1" w:styleId="a8">
    <w:name w:val="ヘッダー (文字)"/>
    <w:basedOn w:val="a0"/>
    <w:link w:val="a7"/>
    <w:uiPriority w:val="99"/>
    <w:rsid w:val="0086004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9">
    <w:name w:val="footer"/>
    <w:basedOn w:val="a"/>
    <w:link w:val="aa"/>
    <w:uiPriority w:val="99"/>
    <w:unhideWhenUsed/>
    <w:rsid w:val="00860049"/>
    <w:pPr>
      <w:tabs>
        <w:tab w:val="center" w:pos="4513"/>
        <w:tab w:val="right" w:pos="9026"/>
      </w:tabs>
    </w:pPr>
  </w:style>
  <w:style w:type="character" w:customStyle="1" w:styleId="aa">
    <w:name w:val="フッター (文字)"/>
    <w:basedOn w:val="a0"/>
    <w:link w:val="a9"/>
    <w:uiPriority w:val="99"/>
    <w:rsid w:val="00860049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9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Sarayut Thaikua</cp:lastModifiedBy>
  <cp:revision>46</cp:revision>
  <dcterms:created xsi:type="dcterms:W3CDTF">2020-05-13T03:46:00Z</dcterms:created>
  <dcterms:modified xsi:type="dcterms:W3CDTF">2020-05-14T02:41:00Z</dcterms:modified>
</cp:coreProperties>
</file>