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Default="001E713E" w:rsidP="001A52CE">
      <w:pPr>
        <w:jc w:val="both"/>
        <w:rPr>
          <w:rFonts w:eastAsia="MS PGothic"/>
          <w:b/>
          <w:color w:val="000000"/>
          <w:sz w:val="22"/>
          <w:szCs w:val="22"/>
        </w:rPr>
      </w:pPr>
      <w:r>
        <w:rPr>
          <w:rFonts w:eastAsia="MS PGothic"/>
          <w:b/>
          <w:color w:val="000000"/>
          <w:sz w:val="22"/>
          <w:szCs w:val="22"/>
        </w:rPr>
        <w:t xml:space="preserve">Elucidation of </w:t>
      </w:r>
      <w:r w:rsidRPr="00D20C16">
        <w:rPr>
          <w:rFonts w:eastAsia="MS PGothic"/>
          <w:b/>
          <w:i/>
          <w:color w:val="000000"/>
          <w:sz w:val="22"/>
          <w:szCs w:val="22"/>
        </w:rPr>
        <w:t>Arabidopsis</w:t>
      </w:r>
      <w:r>
        <w:rPr>
          <w:rFonts w:eastAsia="MS PGothic"/>
          <w:b/>
          <w:color w:val="000000"/>
          <w:sz w:val="22"/>
          <w:szCs w:val="22"/>
        </w:rPr>
        <w:t xml:space="preserve"> </w:t>
      </w:r>
      <w:r w:rsidR="006807FB" w:rsidRPr="006807FB">
        <w:rPr>
          <w:b/>
          <w:sz w:val="22"/>
          <w:szCs w:val="22"/>
        </w:rPr>
        <w:t>cyclic nucleotide-gated channels</w:t>
      </w:r>
      <w:r w:rsidR="006807FB">
        <w:rPr>
          <w:rFonts w:eastAsia="MS PGothic"/>
          <w:b/>
          <w:color w:val="000000"/>
          <w:sz w:val="22"/>
          <w:szCs w:val="22"/>
        </w:rPr>
        <w:t xml:space="preserve"> </w:t>
      </w:r>
      <w:r>
        <w:rPr>
          <w:rFonts w:eastAsia="MS PGothic"/>
          <w:b/>
          <w:color w:val="000000"/>
          <w:sz w:val="22"/>
          <w:szCs w:val="22"/>
        </w:rPr>
        <w:t xml:space="preserve">contributing to </w:t>
      </w:r>
      <w:r w:rsidR="00D20C16">
        <w:rPr>
          <w:rFonts w:eastAsia="MS PGothic"/>
          <w:b/>
          <w:color w:val="000000"/>
          <w:sz w:val="22"/>
          <w:szCs w:val="22"/>
        </w:rPr>
        <w:t>heavy</w:t>
      </w:r>
      <w:r>
        <w:rPr>
          <w:rFonts w:eastAsia="MS PGothic"/>
          <w:b/>
          <w:color w:val="000000"/>
          <w:sz w:val="22"/>
          <w:szCs w:val="22"/>
        </w:rPr>
        <w:t xml:space="preserve"> metal </w:t>
      </w:r>
      <w:r w:rsidR="00B7369B">
        <w:rPr>
          <w:rFonts w:eastAsia="MS PGothic"/>
          <w:b/>
          <w:color w:val="000000"/>
          <w:sz w:val="22"/>
          <w:szCs w:val="22"/>
        </w:rPr>
        <w:t>accumulation in plants</w:t>
      </w:r>
      <w:r>
        <w:rPr>
          <w:rFonts w:eastAsia="MS PGothic"/>
          <w:b/>
          <w:color w:val="000000"/>
          <w:sz w:val="22"/>
          <w:szCs w:val="22"/>
        </w:rPr>
        <w:t xml:space="preserve"> </w:t>
      </w:r>
    </w:p>
    <w:p w:rsidR="006807FB" w:rsidRPr="009D49B8" w:rsidRDefault="006807FB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6807FB" w:rsidRPr="00D20C16" w:rsidRDefault="006807FB" w:rsidP="006807FB">
      <w:pPr>
        <w:pStyle w:val="MDPI13authornames"/>
        <w:rPr>
          <w:rFonts w:ascii="Times New Roman" w:hAnsi="Times New Roman"/>
        </w:rPr>
      </w:pPr>
      <w:r w:rsidRPr="00D20C16">
        <w:rPr>
          <w:rFonts w:ascii="Times New Roman" w:hAnsi="Times New Roman"/>
        </w:rPr>
        <w:t>Ju Yeon Moon</w:t>
      </w:r>
      <w:r w:rsidRPr="00D20C16">
        <w:rPr>
          <w:rFonts w:ascii="Times New Roman" w:hAnsi="Times New Roman"/>
          <w:vertAlign w:val="superscript"/>
        </w:rPr>
        <w:t>1</w:t>
      </w:r>
      <w:r w:rsidRPr="00D20C16">
        <w:rPr>
          <w:rFonts w:ascii="Times New Roman" w:hAnsi="Times New Roman"/>
        </w:rPr>
        <w:t>, Célestine Belloeil</w:t>
      </w:r>
      <w:r w:rsidRPr="00D20C16">
        <w:rPr>
          <w:rFonts w:ascii="Times New Roman" w:hAnsi="Times New Roman"/>
          <w:vertAlign w:val="superscript"/>
        </w:rPr>
        <w:t>1,2</w:t>
      </w:r>
      <w:r w:rsidRPr="00D20C16">
        <w:rPr>
          <w:rFonts w:ascii="Times New Roman" w:hAnsi="Times New Roman"/>
        </w:rPr>
        <w:t>, Madeline Louise Ianna</w:t>
      </w:r>
      <w:r w:rsidRPr="00D20C16">
        <w:rPr>
          <w:rFonts w:ascii="Times New Roman" w:hAnsi="Times New Roman"/>
          <w:vertAlign w:val="superscript"/>
        </w:rPr>
        <w:t>1,3</w:t>
      </w:r>
      <w:r w:rsidRPr="00D20C16">
        <w:rPr>
          <w:rFonts w:ascii="Times New Roman" w:hAnsi="Times New Roman"/>
        </w:rPr>
        <w:t xml:space="preserve"> and Ryoung Shin</w:t>
      </w:r>
      <w:r w:rsidRPr="00D20C16">
        <w:rPr>
          <w:rFonts w:ascii="Times New Roman" w:hAnsi="Times New Roman"/>
          <w:vertAlign w:val="superscript"/>
        </w:rPr>
        <w:t>1</w:t>
      </w:r>
    </w:p>
    <w:p w:rsidR="006807FB" w:rsidRPr="006807FB" w:rsidRDefault="006807FB" w:rsidP="006807FB">
      <w:pPr>
        <w:rPr>
          <w:lang w:eastAsia="de-DE" w:bidi="en-US"/>
        </w:rPr>
      </w:pPr>
    </w:p>
    <w:p w:rsidR="006807FB" w:rsidRPr="006807FB" w:rsidRDefault="006807FB" w:rsidP="006807FB">
      <w:pPr>
        <w:pStyle w:val="MDPI16affiliation"/>
        <w:ind w:left="210" w:right="24"/>
        <w:rPr>
          <w:rFonts w:ascii="Times New Roman" w:hAnsi="Times New Roman"/>
          <w:color w:val="auto"/>
          <w:sz w:val="19"/>
          <w:szCs w:val="19"/>
        </w:rPr>
      </w:pPr>
      <w:r w:rsidRPr="006807FB">
        <w:rPr>
          <w:rFonts w:ascii="Times New Roman" w:hAnsi="Times New Roman"/>
          <w:color w:val="auto"/>
          <w:sz w:val="19"/>
          <w:szCs w:val="19"/>
          <w:vertAlign w:val="superscript"/>
        </w:rPr>
        <w:t>1</w:t>
      </w:r>
      <w:r w:rsidRPr="006807FB">
        <w:rPr>
          <w:rFonts w:ascii="Times New Roman" w:hAnsi="Times New Roman"/>
          <w:color w:val="auto"/>
          <w:sz w:val="19"/>
          <w:szCs w:val="19"/>
        </w:rPr>
        <w:t>R</w:t>
      </w:r>
      <w:r w:rsidRPr="006807FB">
        <w:rPr>
          <w:rFonts w:ascii="Times New Roman" w:hAnsi="Times New Roman"/>
          <w:color w:val="auto"/>
          <w:sz w:val="19"/>
          <w:szCs w:val="19"/>
        </w:rPr>
        <w:t>IKEN Center for Sustainable Resource Science, 1-7-22 Suehirocho, Tsurumi-ku, Yok</w:t>
      </w:r>
      <w:r w:rsidR="00952DBE">
        <w:rPr>
          <w:rFonts w:ascii="Times New Roman" w:hAnsi="Times New Roman"/>
          <w:color w:val="auto"/>
          <w:sz w:val="19"/>
          <w:szCs w:val="19"/>
        </w:rPr>
        <w:t>ohama, Kanagawa 230-0045, Japan</w:t>
      </w:r>
      <w:r w:rsidRPr="006807FB">
        <w:rPr>
          <w:rFonts w:ascii="Times New Roman" w:hAnsi="Times New Roman"/>
          <w:color w:val="auto"/>
          <w:sz w:val="19"/>
          <w:szCs w:val="19"/>
        </w:rPr>
        <w:t xml:space="preserve"> </w:t>
      </w:r>
    </w:p>
    <w:p w:rsidR="006807FB" w:rsidRPr="006807FB" w:rsidRDefault="006807FB" w:rsidP="006807FB">
      <w:pPr>
        <w:pStyle w:val="MDPI16affiliation"/>
        <w:ind w:left="210" w:right="24"/>
        <w:rPr>
          <w:rFonts w:ascii="Times New Roman" w:eastAsia="SimSun" w:hAnsi="Times New Roman"/>
          <w:color w:val="auto"/>
          <w:sz w:val="19"/>
          <w:szCs w:val="19"/>
          <w:lang w:eastAsia="zh-CN"/>
        </w:rPr>
      </w:pPr>
      <w:r w:rsidRPr="006807FB">
        <w:rPr>
          <w:rFonts w:ascii="Times New Roman" w:hAnsi="Times New Roman"/>
          <w:color w:val="auto"/>
          <w:sz w:val="19"/>
          <w:szCs w:val="19"/>
          <w:vertAlign w:val="superscript"/>
        </w:rPr>
        <w:t>2</w:t>
      </w:r>
      <w:r w:rsidRPr="006807FB">
        <w:rPr>
          <w:rFonts w:ascii="Times New Roman" w:hAnsi="Times New Roman"/>
          <w:color w:val="auto"/>
          <w:sz w:val="19"/>
          <w:szCs w:val="19"/>
        </w:rPr>
        <w:t>Université Paris Diderot, 5 rue Thomas Mann, 75013 Paris, France</w:t>
      </w:r>
    </w:p>
    <w:p w:rsidR="006807FB" w:rsidRPr="006807FB" w:rsidRDefault="006807FB" w:rsidP="006807FB">
      <w:pPr>
        <w:pStyle w:val="MDPI16affiliation"/>
        <w:ind w:left="210" w:right="24"/>
        <w:rPr>
          <w:rFonts w:ascii="Times New Roman" w:hAnsi="Times New Roman"/>
          <w:color w:val="auto"/>
          <w:sz w:val="19"/>
          <w:szCs w:val="19"/>
        </w:rPr>
      </w:pPr>
      <w:r w:rsidRPr="006807FB">
        <w:rPr>
          <w:rFonts w:ascii="Times New Roman" w:hAnsi="Times New Roman"/>
          <w:color w:val="auto"/>
          <w:sz w:val="19"/>
          <w:szCs w:val="19"/>
          <w:vertAlign w:val="superscript"/>
        </w:rPr>
        <w:t>3</w:t>
      </w:r>
      <w:r w:rsidRPr="006807FB">
        <w:rPr>
          <w:rFonts w:ascii="Times New Roman" w:hAnsi="Times New Roman"/>
          <w:color w:val="auto"/>
          <w:sz w:val="19"/>
          <w:szCs w:val="19"/>
        </w:rPr>
        <w:t>School of Science and Technology, UNE, Armidale, New South Wales 2351, Australia</w:t>
      </w:r>
    </w:p>
    <w:p w:rsidR="001A52CE" w:rsidRPr="006807FB" w:rsidRDefault="001A52CE" w:rsidP="001A52CE">
      <w:pPr>
        <w:shd w:val="clear" w:color="auto" w:fill="FFFFFF"/>
        <w:spacing w:after="150"/>
        <w:jc w:val="both"/>
        <w:rPr>
          <w:sz w:val="19"/>
          <w:szCs w:val="19"/>
          <w:lang w:eastAsia="en-IN"/>
        </w:rPr>
      </w:pP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066DCF" w:rsidRPr="00066DCF">
        <w:rPr>
          <w:i w:val="0"/>
          <w:sz w:val="19"/>
          <w:szCs w:val="19"/>
        </w:rPr>
        <w:t>Arabidopsis</w:t>
      </w:r>
      <w:r w:rsidR="00066DCF">
        <w:rPr>
          <w:i w:val="0"/>
          <w:sz w:val="19"/>
          <w:szCs w:val="19"/>
        </w:rPr>
        <w:t>,</w:t>
      </w:r>
      <w:r w:rsidR="00066DCF" w:rsidRPr="00066DCF">
        <w:rPr>
          <w:i w:val="0"/>
          <w:sz w:val="19"/>
          <w:szCs w:val="19"/>
        </w:rPr>
        <w:t xml:space="preserve"> c</w:t>
      </w:r>
      <w:r w:rsidR="00066DCF">
        <w:rPr>
          <w:i w:val="0"/>
          <w:sz w:val="19"/>
          <w:szCs w:val="19"/>
        </w:rPr>
        <w:t>admium,</w:t>
      </w:r>
      <w:r w:rsidR="00066DCF" w:rsidRPr="00066DCF">
        <w:rPr>
          <w:i w:val="0"/>
          <w:sz w:val="19"/>
          <w:szCs w:val="19"/>
        </w:rPr>
        <w:t xml:space="preserve"> cyclic nucleotide-gated ch</w:t>
      </w:r>
      <w:r w:rsidR="00066DCF">
        <w:rPr>
          <w:i w:val="0"/>
          <w:sz w:val="19"/>
          <w:szCs w:val="19"/>
        </w:rPr>
        <w:t>annel (CNGC),</w:t>
      </w:r>
      <w:r w:rsidR="00066DCF" w:rsidRPr="00066DCF">
        <w:rPr>
          <w:i w:val="0"/>
          <w:sz w:val="19"/>
          <w:szCs w:val="19"/>
        </w:rPr>
        <w:t xml:space="preserve"> ion uptake</w:t>
      </w:r>
      <w:r w:rsidR="00066DCF">
        <w:rPr>
          <w:i w:val="0"/>
          <w:sz w:val="19"/>
          <w:szCs w:val="19"/>
        </w:rPr>
        <w:t xml:space="preserve">, </w:t>
      </w:r>
      <w:r w:rsidR="00066DCF" w:rsidRPr="00066DCF">
        <w:rPr>
          <w:i w:val="0"/>
          <w:sz w:val="19"/>
          <w:szCs w:val="19"/>
        </w:rPr>
        <w:t xml:space="preserve"> lead</w:t>
      </w:r>
      <w:r w:rsidR="00066DCF">
        <w:rPr>
          <w:i w:val="0"/>
          <w:sz w:val="19"/>
          <w:szCs w:val="19"/>
        </w:rPr>
        <w:t>,  potassium.</w:t>
      </w:r>
      <w:r w:rsidR="00066DCF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066DCF" w:rsidRPr="0005164C" w:rsidRDefault="00066DCF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1A52CE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Body </w:t>
      </w:r>
    </w:p>
    <w:p w:rsidR="00D20C16" w:rsidRPr="0097542F" w:rsidRDefault="0002785A" w:rsidP="00D20C16">
      <w:pPr>
        <w:pStyle w:val="MDPI17abstract"/>
        <w:spacing w:line="276" w:lineRule="auto"/>
        <w:ind w:right="24"/>
        <w:rPr>
          <w:color w:val="auto"/>
        </w:rPr>
      </w:pPr>
      <w:r>
        <w:rPr>
          <w:rFonts w:ascii="Times New Roman" w:hAnsi="Times New Roman"/>
          <w:color w:val="auto"/>
          <w:sz w:val="19"/>
          <w:szCs w:val="19"/>
        </w:rPr>
        <w:t>Non-essential h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>eavy metal</w:t>
      </w:r>
      <w:r w:rsidR="00B97C0F">
        <w:rPr>
          <w:rFonts w:ascii="Times New Roman" w:hAnsi="Times New Roman"/>
          <w:color w:val="auto"/>
          <w:sz w:val="19"/>
          <w:szCs w:val="19"/>
        </w:rPr>
        <w:t>s</w:t>
      </w:r>
      <w:r>
        <w:rPr>
          <w:rFonts w:ascii="Times New Roman" w:hAnsi="Times New Roman"/>
          <w:color w:val="auto"/>
          <w:sz w:val="19"/>
          <w:szCs w:val="19"/>
        </w:rPr>
        <w:t xml:space="preserve"> and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 toxic concentrations of essential </w:t>
      </w:r>
      <w:r>
        <w:rPr>
          <w:rFonts w:ascii="Times New Roman" w:hAnsi="Times New Roman"/>
          <w:color w:val="auto"/>
          <w:sz w:val="19"/>
          <w:szCs w:val="19"/>
        </w:rPr>
        <w:t xml:space="preserve">metals 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negatively affect </w:t>
      </w:r>
      <w:r>
        <w:rPr>
          <w:rFonts w:ascii="Times New Roman" w:hAnsi="Times New Roman"/>
          <w:color w:val="auto"/>
          <w:sz w:val="19"/>
          <w:szCs w:val="19"/>
        </w:rPr>
        <w:t>various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 metabolic and cellular processes. </w:t>
      </w:r>
      <w:r>
        <w:rPr>
          <w:rFonts w:ascii="Times New Roman" w:hAnsi="Times New Roman"/>
          <w:color w:val="auto"/>
          <w:sz w:val="19"/>
          <w:szCs w:val="19"/>
        </w:rPr>
        <w:t>Although only few studies have performed the regulation of heavy metals transport in plants, h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>eavy metal ions are known to enter cells in a non-selective manner. Plant cyclic nucleotide-gated channels (CNGCs), a type of Ca</w:t>
      </w:r>
      <w:r w:rsidR="00D20C16" w:rsidRPr="00D20C16">
        <w:rPr>
          <w:rFonts w:ascii="Times New Roman" w:hAnsi="Times New Roman"/>
          <w:color w:val="auto"/>
          <w:sz w:val="19"/>
          <w:szCs w:val="19"/>
          <w:vertAlign w:val="superscript"/>
        </w:rPr>
        <w:t>2+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-permeable-channel, have been suggested to be involved in </w:t>
      </w:r>
      <w:r w:rsidR="00C65C72">
        <w:rPr>
          <w:rFonts w:ascii="Times New Roman" w:hAnsi="Times New Roman"/>
          <w:color w:val="auto"/>
          <w:sz w:val="19"/>
          <w:szCs w:val="19"/>
        </w:rPr>
        <w:t xml:space="preserve">transporting </w:t>
      </w:r>
      <w:r w:rsidR="00C65C72" w:rsidRPr="00D20C16">
        <w:rPr>
          <w:rFonts w:ascii="Times New Roman" w:hAnsi="Times New Roman"/>
          <w:color w:val="auto"/>
          <w:sz w:val="19"/>
          <w:szCs w:val="19"/>
        </w:rPr>
        <w:t>both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 essential and toxic </w:t>
      </w:r>
      <w:r w:rsidR="00C65C72">
        <w:rPr>
          <w:rFonts w:ascii="Times New Roman" w:hAnsi="Times New Roman"/>
          <w:color w:val="auto"/>
          <w:sz w:val="19"/>
          <w:szCs w:val="19"/>
        </w:rPr>
        <w:t>heavy metal ions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. To determine the candidates responsible for heavy metal ion transport, a series of </w:t>
      </w:r>
      <w:r w:rsidR="00D20C16" w:rsidRPr="00D20C16">
        <w:rPr>
          <w:rFonts w:ascii="Times New Roman" w:hAnsi="Times New Roman"/>
          <w:i/>
          <w:color w:val="auto"/>
          <w:sz w:val="19"/>
          <w:szCs w:val="19"/>
        </w:rPr>
        <w:t>Arabidopsis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 CNGC</w:t>
      </w:r>
      <w:r w:rsidR="00D20C16" w:rsidRPr="00D20C16">
        <w:rPr>
          <w:rFonts w:ascii="Times New Roman" w:hAnsi="Times New Roman"/>
          <w:i/>
          <w:color w:val="auto"/>
          <w:sz w:val="19"/>
          <w:szCs w:val="19"/>
        </w:rPr>
        <w:t xml:space="preserve"> 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>mutants were examined for their response to Pb</w:t>
      </w:r>
      <w:r w:rsidR="00D20C16" w:rsidRPr="00D20C16">
        <w:rPr>
          <w:rFonts w:ascii="Times New Roman" w:hAnsi="Times New Roman"/>
          <w:color w:val="auto"/>
          <w:sz w:val="19"/>
          <w:szCs w:val="19"/>
          <w:vertAlign w:val="superscript"/>
        </w:rPr>
        <w:t>2+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 and Cd</w:t>
      </w:r>
      <w:r w:rsidR="00D20C16" w:rsidRPr="00D20C16">
        <w:rPr>
          <w:rFonts w:ascii="Times New Roman" w:hAnsi="Times New Roman"/>
          <w:color w:val="auto"/>
          <w:sz w:val="19"/>
          <w:szCs w:val="19"/>
          <w:vertAlign w:val="superscript"/>
        </w:rPr>
        <w:t>2+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 ions. Results, based on the a</w:t>
      </w:r>
      <w:r w:rsidR="00C65C72">
        <w:rPr>
          <w:rFonts w:ascii="Times New Roman" w:hAnsi="Times New Roman"/>
          <w:color w:val="auto"/>
          <w:sz w:val="19"/>
          <w:szCs w:val="19"/>
        </w:rPr>
        <w:t>nalysis of primary root length and i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on content analysis verified that </w:t>
      </w:r>
      <w:r w:rsidR="00C65C72">
        <w:rPr>
          <w:rFonts w:ascii="Times New Roman" w:hAnsi="Times New Roman"/>
          <w:color w:val="auto"/>
          <w:sz w:val="19"/>
          <w:szCs w:val="19"/>
        </w:rPr>
        <w:t xml:space="preserve">at least </w:t>
      </w:r>
      <w:r w:rsidR="007F01EA">
        <w:rPr>
          <w:rFonts w:ascii="Times New Roman" w:hAnsi="Times New Roman"/>
          <w:color w:val="auto"/>
          <w:sz w:val="19"/>
          <w:szCs w:val="19"/>
        </w:rPr>
        <w:t xml:space="preserve">four </w:t>
      </w:r>
      <w:r w:rsidR="00C65C72">
        <w:rPr>
          <w:rFonts w:ascii="Times New Roman" w:hAnsi="Times New Roman"/>
          <w:color w:val="auto"/>
          <w:sz w:val="19"/>
          <w:szCs w:val="19"/>
        </w:rPr>
        <w:t xml:space="preserve">AtCNGCs play roles in 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>Pb</w:t>
      </w:r>
      <w:r w:rsidR="00D20C16" w:rsidRPr="00D20C16">
        <w:rPr>
          <w:rFonts w:ascii="Times New Roman" w:hAnsi="Times New Roman"/>
          <w:color w:val="auto"/>
          <w:sz w:val="19"/>
          <w:szCs w:val="19"/>
          <w:vertAlign w:val="superscript"/>
        </w:rPr>
        <w:t>2+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 and</w:t>
      </w:r>
      <w:r w:rsidR="00C65C72">
        <w:rPr>
          <w:rFonts w:ascii="Times New Roman" w:hAnsi="Times New Roman"/>
          <w:color w:val="auto"/>
          <w:sz w:val="19"/>
          <w:szCs w:val="19"/>
        </w:rPr>
        <w:t>/or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 Cd</w:t>
      </w:r>
      <w:r w:rsidR="00D20C16" w:rsidRPr="00D20C16">
        <w:rPr>
          <w:rFonts w:ascii="Times New Roman" w:hAnsi="Times New Roman"/>
          <w:color w:val="auto"/>
          <w:sz w:val="19"/>
          <w:szCs w:val="19"/>
          <w:vertAlign w:val="superscript"/>
        </w:rPr>
        <w:t>2+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 accumulation in plants. These findings provide functional evidence which support the roles of these AtCNGCs in the uptake and transport of Pb</w:t>
      </w:r>
      <w:r w:rsidR="00D20C16" w:rsidRPr="00D20C16">
        <w:rPr>
          <w:rFonts w:ascii="Times New Roman" w:hAnsi="Times New Roman"/>
          <w:color w:val="auto"/>
          <w:sz w:val="19"/>
          <w:szCs w:val="19"/>
          <w:vertAlign w:val="superscript"/>
        </w:rPr>
        <w:t>2+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 or Cd</w:t>
      </w:r>
      <w:r w:rsidR="00D20C16" w:rsidRPr="00D20C16">
        <w:rPr>
          <w:rFonts w:ascii="Times New Roman" w:hAnsi="Times New Roman"/>
          <w:color w:val="auto"/>
          <w:sz w:val="19"/>
          <w:szCs w:val="19"/>
          <w:vertAlign w:val="superscript"/>
        </w:rPr>
        <w:t>2+</w:t>
      </w:r>
      <w:r w:rsidR="00D20C16" w:rsidRPr="00D20C16">
        <w:rPr>
          <w:rFonts w:ascii="Times New Roman" w:hAnsi="Times New Roman"/>
          <w:color w:val="auto"/>
          <w:sz w:val="19"/>
          <w:szCs w:val="19"/>
        </w:rPr>
        <w:t xml:space="preserve"> ion in plants.</w:t>
      </w:r>
    </w:p>
    <w:p w:rsidR="001A52CE" w:rsidRPr="00D20C16" w:rsidRDefault="001A52CE" w:rsidP="001A52CE">
      <w:pPr>
        <w:jc w:val="both"/>
        <w:rPr>
          <w:sz w:val="19"/>
          <w:szCs w:val="19"/>
          <w:lang w:eastAsia="en-IN"/>
        </w:rPr>
      </w:pPr>
    </w:p>
    <w:p w:rsidR="001A52CE" w:rsidRPr="00D20C16" w:rsidRDefault="001A52CE" w:rsidP="001A52CE">
      <w:pPr>
        <w:jc w:val="both"/>
        <w:rPr>
          <w:sz w:val="19"/>
          <w:szCs w:val="19"/>
          <w:lang w:eastAsia="en-IN"/>
        </w:rPr>
      </w:pP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7F01EA" w:rsidP="001A52CE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eastAsia="ko-KR"/>
        </w:rPr>
        <w:drawing>
          <wp:inline distT="0" distB="0" distL="0" distR="0">
            <wp:extent cx="2656390" cy="2449399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8 annual report fig 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978" cy="246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2CE" w:rsidRPr="007F01EA" w:rsidRDefault="007F01EA" w:rsidP="001A52CE">
      <w:pPr>
        <w:pStyle w:val="BodyText"/>
        <w:jc w:val="left"/>
        <w:rPr>
          <w:rFonts w:eastAsiaTheme="minorEastAsia" w:hint="eastAsia"/>
          <w:sz w:val="19"/>
          <w:szCs w:val="19"/>
          <w:lang w:eastAsia="ko-KR"/>
        </w:rPr>
      </w:pPr>
      <w:r>
        <w:rPr>
          <w:rFonts w:eastAsiaTheme="minorEastAsia" w:hint="eastAsia"/>
          <w:sz w:val="19"/>
          <w:szCs w:val="19"/>
          <w:lang w:eastAsia="ko-KR"/>
        </w:rPr>
        <w:t>Involvement of AtCNGCs in heav</w:t>
      </w:r>
      <w:r>
        <w:rPr>
          <w:rFonts w:eastAsiaTheme="minorEastAsia"/>
          <w:sz w:val="19"/>
          <w:szCs w:val="19"/>
          <w:lang w:eastAsia="ko-KR"/>
        </w:rPr>
        <w:t>y metal uptake</w:t>
      </w:r>
    </w:p>
    <w:p w:rsidR="001A52CE" w:rsidRPr="0005164C" w:rsidRDefault="001A52CE" w:rsidP="001A52CE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E25176" w:rsidRDefault="00E25176" w:rsidP="003E6F7C">
      <w:pPr>
        <w:pStyle w:val="MDPI71References"/>
        <w:numPr>
          <w:ilvl w:val="0"/>
          <w:numId w:val="5"/>
        </w:numPr>
        <w:spacing w:line="240" w:lineRule="auto"/>
        <w:ind w:left="426"/>
        <w:rPr>
          <w:rFonts w:ascii="Times New Roman" w:hAnsi="Times New Roman"/>
          <w:noProof/>
          <w:color w:val="auto"/>
          <w:sz w:val="19"/>
          <w:szCs w:val="19"/>
        </w:rPr>
      </w:pPr>
      <w:bookmarkStart w:id="0" w:name="2"/>
      <w:bookmarkStart w:id="1" w:name="_ENREF_12"/>
      <w:bookmarkEnd w:id="0"/>
      <w:r>
        <w:rPr>
          <w:rFonts w:ascii="Times New Roman" w:hAnsi="Times New Roman"/>
          <w:noProof/>
          <w:color w:val="auto"/>
          <w:sz w:val="19"/>
          <w:szCs w:val="19"/>
        </w:rPr>
        <w:t>J.Y. Moon, C. Belloeil, M.L.</w:t>
      </w:r>
      <w:r w:rsidR="00F56375">
        <w:rPr>
          <w:rFonts w:ascii="Times New Roman" w:hAnsi="Times New Roman"/>
          <w:noProof/>
          <w:color w:val="auto"/>
          <w:sz w:val="19"/>
          <w:szCs w:val="19"/>
        </w:rPr>
        <w:t xml:space="preserve"> </w:t>
      </w:r>
      <w:r>
        <w:rPr>
          <w:rFonts w:ascii="Times New Roman" w:hAnsi="Times New Roman"/>
          <w:noProof/>
          <w:color w:val="auto"/>
          <w:sz w:val="19"/>
          <w:szCs w:val="19"/>
        </w:rPr>
        <w:t>Ianna</w:t>
      </w:r>
      <w:r w:rsidR="00F56375">
        <w:rPr>
          <w:rFonts w:ascii="Times New Roman" w:hAnsi="Times New Roman"/>
          <w:noProof/>
          <w:color w:val="auto"/>
          <w:sz w:val="19"/>
          <w:szCs w:val="19"/>
        </w:rPr>
        <w:t>,</w:t>
      </w:r>
      <w:bookmarkStart w:id="2" w:name="_GoBack"/>
      <w:bookmarkEnd w:id="2"/>
      <w:r>
        <w:rPr>
          <w:rFonts w:ascii="Times New Roman" w:hAnsi="Times New Roman"/>
          <w:noProof/>
          <w:color w:val="auto"/>
          <w:sz w:val="19"/>
          <w:szCs w:val="19"/>
        </w:rPr>
        <w:t xml:space="preserve"> and R. Shin, 2019. </w:t>
      </w:r>
      <w:r w:rsidRPr="00E25176">
        <w:rPr>
          <w:rFonts w:ascii="Times New Roman" w:hAnsi="Times New Roman"/>
          <w:i/>
          <w:noProof/>
          <w:color w:val="auto"/>
          <w:sz w:val="19"/>
          <w:szCs w:val="19"/>
        </w:rPr>
        <w:t>Arabidopsis</w:t>
      </w:r>
      <w:r>
        <w:rPr>
          <w:rFonts w:ascii="Times New Roman" w:hAnsi="Times New Roman"/>
          <w:noProof/>
          <w:color w:val="auto"/>
          <w:sz w:val="19"/>
          <w:szCs w:val="19"/>
        </w:rPr>
        <w:t xml:space="preserve"> CNGC family members contribute to heavy metal ion uptake in plants. Int. J. Mol. Sci. 20:413</w:t>
      </w:r>
    </w:p>
    <w:p w:rsidR="003E6F7C" w:rsidRPr="001E35DE" w:rsidRDefault="003E6F7C" w:rsidP="003E6F7C">
      <w:pPr>
        <w:pStyle w:val="MDPI71References"/>
        <w:numPr>
          <w:ilvl w:val="0"/>
          <w:numId w:val="5"/>
        </w:numPr>
        <w:spacing w:line="240" w:lineRule="auto"/>
        <w:ind w:left="426"/>
        <w:rPr>
          <w:rFonts w:ascii="Times New Roman" w:hAnsi="Times New Roman"/>
          <w:noProof/>
          <w:color w:val="auto"/>
          <w:sz w:val="19"/>
          <w:szCs w:val="19"/>
        </w:rPr>
      </w:pPr>
      <w:r>
        <w:rPr>
          <w:rFonts w:ascii="Times New Roman" w:hAnsi="Times New Roman"/>
          <w:noProof/>
          <w:color w:val="auto"/>
          <w:sz w:val="19"/>
          <w:szCs w:val="19"/>
        </w:rPr>
        <w:t xml:space="preserve">T.A. 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DeFalco, </w:t>
      </w:r>
      <w:r>
        <w:rPr>
          <w:rFonts w:ascii="Times New Roman" w:hAnsi="Times New Roman"/>
          <w:noProof/>
          <w:color w:val="auto"/>
          <w:sz w:val="19"/>
          <w:szCs w:val="19"/>
        </w:rPr>
        <w:t>W.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 Moeder, </w:t>
      </w:r>
      <w:r>
        <w:rPr>
          <w:rFonts w:ascii="Times New Roman" w:hAnsi="Times New Roman"/>
          <w:noProof/>
          <w:color w:val="auto"/>
          <w:sz w:val="19"/>
          <w:szCs w:val="19"/>
        </w:rPr>
        <w:t>and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 </w:t>
      </w:r>
      <w:r>
        <w:rPr>
          <w:rFonts w:ascii="Times New Roman" w:hAnsi="Times New Roman"/>
          <w:noProof/>
          <w:color w:val="auto"/>
          <w:sz w:val="19"/>
          <w:szCs w:val="19"/>
        </w:rPr>
        <w:t xml:space="preserve">K. 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Yoshioka, </w:t>
      </w:r>
      <w:r>
        <w:rPr>
          <w:rFonts w:ascii="Times New Roman" w:hAnsi="Times New Roman"/>
          <w:noProof/>
          <w:color w:val="auto"/>
          <w:sz w:val="19"/>
          <w:szCs w:val="19"/>
        </w:rPr>
        <w:t>2016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>. Opening the gates: Insights into cyclic nucleotide-gated channel-mediated signaling. Trends Plant Sci., 21</w:t>
      </w:r>
      <w:r>
        <w:rPr>
          <w:rFonts w:ascii="Times New Roman" w:hAnsi="Times New Roman"/>
          <w:noProof/>
          <w:color w:val="auto"/>
          <w:sz w:val="19"/>
          <w:szCs w:val="19"/>
        </w:rPr>
        <w:t>: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 903–906.</w:t>
      </w:r>
      <w:bookmarkEnd w:id="1"/>
    </w:p>
    <w:p w:rsidR="003E6F7C" w:rsidRPr="001E35DE" w:rsidRDefault="003E6F7C" w:rsidP="003E6F7C">
      <w:pPr>
        <w:pStyle w:val="MDPI71References"/>
        <w:numPr>
          <w:ilvl w:val="0"/>
          <w:numId w:val="5"/>
        </w:numPr>
        <w:spacing w:line="240" w:lineRule="auto"/>
        <w:ind w:left="426"/>
        <w:rPr>
          <w:rFonts w:ascii="Times New Roman" w:hAnsi="Times New Roman"/>
          <w:noProof/>
          <w:color w:val="auto"/>
          <w:sz w:val="19"/>
          <w:szCs w:val="19"/>
        </w:rPr>
      </w:pPr>
      <w:r>
        <w:rPr>
          <w:rFonts w:ascii="Times New Roman" w:hAnsi="Times New Roman"/>
          <w:noProof/>
          <w:color w:val="auto"/>
          <w:sz w:val="19"/>
          <w:szCs w:val="19"/>
        </w:rPr>
        <w:t xml:space="preserve">B. 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>Kaplan,</w:t>
      </w:r>
      <w:r>
        <w:rPr>
          <w:rFonts w:ascii="Times New Roman" w:hAnsi="Times New Roman"/>
          <w:noProof/>
          <w:color w:val="auto"/>
          <w:sz w:val="19"/>
          <w:szCs w:val="19"/>
        </w:rPr>
        <w:t xml:space="preserve"> T.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 Sherman, </w:t>
      </w:r>
      <w:r>
        <w:rPr>
          <w:rFonts w:ascii="Times New Roman" w:hAnsi="Times New Roman"/>
          <w:noProof/>
          <w:color w:val="auto"/>
          <w:sz w:val="19"/>
          <w:szCs w:val="19"/>
        </w:rPr>
        <w:t>H.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 Fromm, </w:t>
      </w:r>
      <w:r>
        <w:rPr>
          <w:rFonts w:ascii="Times New Roman" w:hAnsi="Times New Roman"/>
          <w:noProof/>
          <w:color w:val="auto"/>
          <w:sz w:val="19"/>
          <w:szCs w:val="19"/>
        </w:rPr>
        <w:t>2007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>. Cyclic nucleotide-gated channels in plants. FEBS Lett. 581</w:t>
      </w:r>
      <w:r>
        <w:rPr>
          <w:rFonts w:ascii="Times New Roman" w:hAnsi="Times New Roman"/>
          <w:noProof/>
          <w:color w:val="auto"/>
          <w:sz w:val="19"/>
          <w:szCs w:val="19"/>
        </w:rPr>
        <w:t>: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 2237–2246</w:t>
      </w:r>
      <w:r>
        <w:rPr>
          <w:rFonts w:ascii="Times New Roman" w:hAnsi="Times New Roman"/>
          <w:noProof/>
          <w:color w:val="auto"/>
          <w:sz w:val="19"/>
          <w:szCs w:val="19"/>
        </w:rPr>
        <w:t>.</w:t>
      </w:r>
    </w:p>
    <w:p w:rsidR="003E6F7C" w:rsidRPr="001E35DE" w:rsidRDefault="003E6F7C" w:rsidP="003E6F7C">
      <w:pPr>
        <w:pStyle w:val="MDPI71References"/>
        <w:numPr>
          <w:ilvl w:val="0"/>
          <w:numId w:val="5"/>
        </w:numPr>
        <w:spacing w:line="240" w:lineRule="auto"/>
        <w:ind w:left="426"/>
        <w:rPr>
          <w:rFonts w:ascii="Times New Roman" w:hAnsi="Times New Roman"/>
          <w:noProof/>
          <w:color w:val="auto"/>
          <w:sz w:val="19"/>
          <w:szCs w:val="19"/>
        </w:rPr>
      </w:pPr>
      <w:r>
        <w:rPr>
          <w:rFonts w:ascii="Times New Roman" w:hAnsi="Times New Roman"/>
          <w:noProof/>
          <w:color w:val="auto"/>
          <w:sz w:val="19"/>
          <w:szCs w:val="19"/>
        </w:rPr>
        <w:t xml:space="preserve">K.M. 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Guo, </w:t>
      </w:r>
      <w:r>
        <w:rPr>
          <w:rFonts w:ascii="Times New Roman" w:hAnsi="Times New Roman"/>
          <w:noProof/>
          <w:color w:val="auto"/>
          <w:sz w:val="19"/>
          <w:szCs w:val="19"/>
        </w:rPr>
        <w:t>O.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 Babourina, </w:t>
      </w:r>
      <w:r>
        <w:rPr>
          <w:rFonts w:ascii="Times New Roman" w:hAnsi="Times New Roman"/>
          <w:noProof/>
          <w:color w:val="auto"/>
          <w:sz w:val="19"/>
          <w:szCs w:val="19"/>
        </w:rPr>
        <w:t xml:space="preserve">D.A. 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Christopher, </w:t>
      </w:r>
      <w:r>
        <w:rPr>
          <w:rFonts w:ascii="Times New Roman" w:hAnsi="Times New Roman"/>
          <w:noProof/>
          <w:color w:val="auto"/>
          <w:sz w:val="19"/>
          <w:szCs w:val="19"/>
        </w:rPr>
        <w:t>T.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 Borsic, </w:t>
      </w:r>
      <w:r>
        <w:rPr>
          <w:rFonts w:ascii="Times New Roman" w:hAnsi="Times New Roman"/>
          <w:noProof/>
          <w:color w:val="auto"/>
          <w:sz w:val="19"/>
          <w:szCs w:val="19"/>
        </w:rPr>
        <w:t>Z.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 Rengel, </w:t>
      </w:r>
      <w:r>
        <w:rPr>
          <w:rFonts w:ascii="Times New Roman" w:hAnsi="Times New Roman"/>
          <w:noProof/>
          <w:color w:val="auto"/>
          <w:sz w:val="19"/>
          <w:szCs w:val="19"/>
        </w:rPr>
        <w:t>2010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>. The cyclic nucleotide-gated channel AtCNGC10 transports Ca</w:t>
      </w:r>
      <w:r w:rsidRPr="001E35DE">
        <w:rPr>
          <w:rFonts w:ascii="Times New Roman" w:hAnsi="Times New Roman"/>
          <w:noProof/>
          <w:color w:val="auto"/>
          <w:sz w:val="19"/>
          <w:szCs w:val="19"/>
          <w:vertAlign w:val="superscript"/>
        </w:rPr>
        <w:t>2+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 and Mg</w:t>
      </w:r>
      <w:r w:rsidRPr="001E35DE">
        <w:rPr>
          <w:rFonts w:ascii="Times New Roman" w:hAnsi="Times New Roman"/>
          <w:noProof/>
          <w:color w:val="auto"/>
          <w:sz w:val="19"/>
          <w:szCs w:val="19"/>
          <w:vertAlign w:val="superscript"/>
        </w:rPr>
        <w:t xml:space="preserve">2+ 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 xml:space="preserve">in </w:t>
      </w:r>
      <w:r w:rsidRPr="001E35DE">
        <w:rPr>
          <w:rFonts w:ascii="Times New Roman" w:hAnsi="Times New Roman"/>
          <w:i/>
          <w:noProof/>
          <w:color w:val="auto"/>
          <w:sz w:val="19"/>
          <w:szCs w:val="19"/>
        </w:rPr>
        <w:t>Arabidopsis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>. Physiol. Plant. 139</w:t>
      </w:r>
      <w:r>
        <w:rPr>
          <w:rFonts w:ascii="Times New Roman" w:hAnsi="Times New Roman"/>
          <w:noProof/>
          <w:color w:val="auto"/>
          <w:sz w:val="19"/>
          <w:szCs w:val="19"/>
        </w:rPr>
        <w:t>:</w:t>
      </w:r>
      <w:r w:rsidRPr="001E35DE">
        <w:rPr>
          <w:rFonts w:ascii="Times New Roman" w:hAnsi="Times New Roman"/>
          <w:noProof/>
          <w:color w:val="auto"/>
          <w:sz w:val="19"/>
          <w:szCs w:val="19"/>
        </w:rPr>
        <w:t>303–312</w:t>
      </w:r>
      <w:r>
        <w:rPr>
          <w:rFonts w:ascii="Times New Roman" w:hAnsi="Times New Roman"/>
          <w:noProof/>
          <w:color w:val="auto"/>
          <w:sz w:val="19"/>
          <w:szCs w:val="19"/>
        </w:rPr>
        <w:t>.</w:t>
      </w:r>
    </w:p>
    <w:p w:rsidR="003E6F7C" w:rsidRDefault="00F73DF2" w:rsidP="00E25176">
      <w:pPr>
        <w:pStyle w:val="MDPI71References"/>
        <w:numPr>
          <w:ilvl w:val="0"/>
          <w:numId w:val="0"/>
        </w:numPr>
        <w:spacing w:line="240" w:lineRule="auto"/>
        <w:ind w:left="426"/>
        <w:rPr>
          <w:rFonts w:ascii="Times New Roman" w:hAnsi="Times New Roman"/>
          <w:noProof/>
          <w:color w:val="auto"/>
          <w:spacing w:val="-4"/>
          <w:sz w:val="19"/>
          <w:szCs w:val="19"/>
        </w:rPr>
      </w:pPr>
      <w:r w:rsidRPr="001E35DE">
        <w:rPr>
          <w:rFonts w:ascii="Times New Roman" w:hAnsi="Times New Roman"/>
          <w:noProof/>
          <w:color w:val="auto"/>
          <w:spacing w:val="-4"/>
          <w:sz w:val="19"/>
          <w:szCs w:val="19"/>
        </w:rPr>
        <w:t>.</w:t>
      </w:r>
      <w:r w:rsidR="003E6F7C" w:rsidRPr="001E35DE">
        <w:rPr>
          <w:rFonts w:ascii="Times New Roman" w:hAnsi="Times New Roman"/>
          <w:noProof/>
          <w:color w:val="auto"/>
          <w:spacing w:val="-4"/>
          <w:sz w:val="19"/>
          <w:szCs w:val="19"/>
        </w:rPr>
        <w:t xml:space="preserve"> </w:t>
      </w:r>
      <w:r w:rsidR="003E6F7C">
        <w:rPr>
          <w:rFonts w:ascii="Times New Roman" w:hAnsi="Times New Roman"/>
          <w:noProof/>
          <w:color w:val="auto"/>
          <w:spacing w:val="-4"/>
          <w:sz w:val="19"/>
          <w:szCs w:val="19"/>
        </w:rPr>
        <w:t xml:space="preserve">                                         </w:t>
      </w:r>
    </w:p>
    <w:p w:rsidR="001A52CE" w:rsidRPr="003E6F7C" w:rsidRDefault="003E6F7C" w:rsidP="003E6F7C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20"/>
        <w:ind w:leftChars="0" w:left="1560"/>
        <w:jc w:val="left"/>
        <w:rPr>
          <w:b/>
          <w:sz w:val="19"/>
          <w:szCs w:val="19"/>
        </w:rPr>
      </w:pPr>
      <w:r w:rsidRPr="003E6F7C">
        <w:rPr>
          <w:b/>
          <w:sz w:val="19"/>
          <w:szCs w:val="19"/>
          <w:lang w:val="en-IN" w:eastAsia="en-IN"/>
        </w:rPr>
        <w:t>B</w:t>
      </w:r>
      <w:r w:rsidR="001A52CE" w:rsidRPr="003E6F7C">
        <w:rPr>
          <w:b/>
          <w:sz w:val="19"/>
          <w:szCs w:val="19"/>
          <w:lang w:val="en-IN" w:eastAsia="en-IN"/>
        </w:rPr>
        <w:t>iography:</w:t>
      </w:r>
    </w:p>
    <w:p w:rsidR="001A52CE" w:rsidRPr="0005164C" w:rsidRDefault="001572EC" w:rsidP="001A52CE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>Ryoung Shin</w:t>
      </w:r>
      <w:r w:rsidR="001A52CE" w:rsidRPr="0005164C">
        <w:rPr>
          <w:sz w:val="19"/>
          <w:szCs w:val="19"/>
        </w:rPr>
        <w:t xml:space="preserve"> has completed his PhD at the age of 2</w:t>
      </w:r>
      <w:r>
        <w:rPr>
          <w:sz w:val="19"/>
          <w:szCs w:val="19"/>
        </w:rPr>
        <w:t>8</w:t>
      </w:r>
      <w:r w:rsidR="001A52CE" w:rsidRPr="0005164C">
        <w:rPr>
          <w:sz w:val="19"/>
          <w:szCs w:val="19"/>
        </w:rPr>
        <w:t xml:space="preserve"> years from </w:t>
      </w:r>
      <w:r>
        <w:rPr>
          <w:sz w:val="19"/>
          <w:szCs w:val="19"/>
        </w:rPr>
        <w:t>Korea</w:t>
      </w:r>
      <w:r w:rsidR="001A52CE" w:rsidRPr="0005164C">
        <w:rPr>
          <w:sz w:val="19"/>
          <w:szCs w:val="19"/>
        </w:rPr>
        <w:t xml:space="preserve"> University and </w:t>
      </w:r>
      <w:r w:rsidR="001A52CE">
        <w:rPr>
          <w:sz w:val="19"/>
          <w:szCs w:val="19"/>
        </w:rPr>
        <w:t>P</w:t>
      </w:r>
      <w:r w:rsidR="001A52CE" w:rsidRPr="0005164C">
        <w:rPr>
          <w:sz w:val="19"/>
          <w:szCs w:val="19"/>
        </w:rPr>
        <w:t xml:space="preserve">ostdoctoral </w:t>
      </w:r>
      <w:r w:rsidR="001A52CE">
        <w:rPr>
          <w:sz w:val="19"/>
          <w:szCs w:val="19"/>
        </w:rPr>
        <w:t>S</w:t>
      </w:r>
      <w:r w:rsidR="001A52CE" w:rsidRPr="0005164C">
        <w:rPr>
          <w:sz w:val="19"/>
          <w:szCs w:val="19"/>
        </w:rPr>
        <w:t xml:space="preserve">tudies from </w:t>
      </w:r>
      <w:r>
        <w:rPr>
          <w:sz w:val="19"/>
          <w:szCs w:val="19"/>
        </w:rPr>
        <w:t>Donald Danforth Plant Science Center, USA</w:t>
      </w:r>
      <w:r w:rsidR="001A52CE" w:rsidRPr="0005164C">
        <w:rPr>
          <w:sz w:val="19"/>
          <w:szCs w:val="19"/>
        </w:rPr>
        <w:t xml:space="preserve">. </w:t>
      </w:r>
      <w:r>
        <w:rPr>
          <w:sz w:val="19"/>
          <w:szCs w:val="19"/>
        </w:rPr>
        <w:t>Sh</w:t>
      </w:r>
      <w:r w:rsidR="001A52CE" w:rsidRPr="0005164C">
        <w:rPr>
          <w:sz w:val="19"/>
          <w:szCs w:val="19"/>
        </w:rPr>
        <w:t xml:space="preserve">e is the </w:t>
      </w:r>
      <w:r>
        <w:rPr>
          <w:sz w:val="19"/>
          <w:szCs w:val="19"/>
        </w:rPr>
        <w:t>Unit leader of RIKEN Center for Sustainable Resource Science</w:t>
      </w:r>
      <w:r w:rsidR="001A52CE" w:rsidRPr="0005164C">
        <w:rPr>
          <w:sz w:val="19"/>
          <w:szCs w:val="19"/>
        </w:rPr>
        <w:t xml:space="preserve">. </w:t>
      </w:r>
      <w:r>
        <w:rPr>
          <w:sz w:val="19"/>
          <w:szCs w:val="19"/>
        </w:rPr>
        <w:t>She</w:t>
      </w:r>
      <w:r w:rsidR="001A52CE" w:rsidRPr="0005164C">
        <w:rPr>
          <w:sz w:val="19"/>
          <w:szCs w:val="19"/>
        </w:rPr>
        <w:t xml:space="preserve"> has published more than </w:t>
      </w:r>
      <w:r>
        <w:rPr>
          <w:sz w:val="19"/>
          <w:szCs w:val="19"/>
        </w:rPr>
        <w:t>45</w:t>
      </w:r>
      <w:r w:rsidR="001A52CE" w:rsidRPr="0005164C">
        <w:rPr>
          <w:sz w:val="19"/>
          <w:szCs w:val="19"/>
        </w:rPr>
        <w:t xml:space="preserve"> papers in reputed journals and has </w:t>
      </w:r>
      <w:r>
        <w:rPr>
          <w:sz w:val="19"/>
          <w:szCs w:val="19"/>
        </w:rPr>
        <w:t xml:space="preserve">7 patents and has been served the </w:t>
      </w:r>
      <w:r w:rsidR="001A52CE" w:rsidRPr="0005164C">
        <w:rPr>
          <w:sz w:val="19"/>
          <w:szCs w:val="19"/>
        </w:rPr>
        <w:t xml:space="preserve">editorial board member of </w:t>
      </w:r>
      <w:r>
        <w:rPr>
          <w:sz w:val="19"/>
          <w:szCs w:val="19"/>
        </w:rPr>
        <w:t>three journals including Scientific Reports.</w:t>
      </w:r>
      <w:r w:rsidR="001A52CE" w:rsidRPr="0005164C">
        <w:rPr>
          <w:sz w:val="19"/>
          <w:szCs w:val="19"/>
        </w:rPr>
        <w:tab/>
      </w:r>
      <w:r w:rsidR="001A52CE" w:rsidRPr="0005164C">
        <w:rPr>
          <w:sz w:val="19"/>
          <w:szCs w:val="19"/>
        </w:rPr>
        <w:br/>
      </w:r>
    </w:p>
    <w:p w:rsidR="001A52CE" w:rsidRPr="0005164C" w:rsidRDefault="001A52CE" w:rsidP="003E6F7C">
      <w:pPr>
        <w:numPr>
          <w:ilvl w:val="0"/>
          <w:numId w:val="6"/>
        </w:numPr>
        <w:autoSpaceDE w:val="0"/>
        <w:autoSpaceDN w:val="0"/>
        <w:adjustRightInd w:val="0"/>
        <w:ind w:left="1701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D84615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eastAsia="ko-KR"/>
        </w:rPr>
        <w:drawing>
          <wp:inline distT="0" distB="0" distL="0" distR="0">
            <wp:extent cx="1035934" cy="12971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hinryonweb2019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26" cy="135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52CE" w:rsidRPr="0005164C">
        <w:rPr>
          <w:sz w:val="19"/>
          <w:szCs w:val="19"/>
          <w:lang w:val="en-NZ"/>
        </w:rPr>
        <w:br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D84615">
        <w:rPr>
          <w:sz w:val="19"/>
          <w:szCs w:val="19"/>
          <w:lang w:val="en-NZ"/>
        </w:rPr>
        <w:t xml:space="preserve"> Ryoung Shin</w:t>
      </w:r>
      <w:r w:rsidR="00D84615">
        <w:rPr>
          <w:sz w:val="19"/>
          <w:szCs w:val="19"/>
          <w:lang w:val="en-NZ"/>
        </w:rPr>
        <w:tab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D84615">
        <w:rPr>
          <w:sz w:val="19"/>
          <w:szCs w:val="19"/>
          <w:lang w:val="en-NZ"/>
        </w:rPr>
        <w:t xml:space="preserve"> +81-45-503-9577</w:t>
      </w:r>
      <w:r w:rsidRPr="0005164C">
        <w:rPr>
          <w:sz w:val="19"/>
          <w:szCs w:val="19"/>
          <w:lang w:val="en-NZ"/>
        </w:rPr>
        <w:br/>
        <w:t>Category: Oral presentation</w:t>
      </w:r>
    </w:p>
    <w:sectPr w:rsidR="001A52CE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327FDE"/>
    <w:multiLevelType w:val="hybridMultilevel"/>
    <w:tmpl w:val="508A22DE"/>
    <w:lvl w:ilvl="0" w:tplc="F5E4AFCA">
      <w:start w:val="5"/>
      <w:numFmt w:val="decimal"/>
      <w:lvlText w:val="%1."/>
      <w:lvlJc w:val="left"/>
      <w:pPr>
        <w:ind w:left="171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154" w:hanging="400"/>
      </w:pPr>
    </w:lvl>
    <w:lvl w:ilvl="2" w:tplc="0409001B" w:tentative="1">
      <w:start w:val="1"/>
      <w:numFmt w:val="lowerRoman"/>
      <w:lvlText w:val="%3."/>
      <w:lvlJc w:val="right"/>
      <w:pPr>
        <w:ind w:left="2554" w:hanging="400"/>
      </w:pPr>
    </w:lvl>
    <w:lvl w:ilvl="3" w:tplc="0409000F" w:tentative="1">
      <w:start w:val="1"/>
      <w:numFmt w:val="decimal"/>
      <w:lvlText w:val="%4."/>
      <w:lvlJc w:val="left"/>
      <w:pPr>
        <w:ind w:left="2954" w:hanging="400"/>
      </w:pPr>
    </w:lvl>
    <w:lvl w:ilvl="4" w:tplc="04090019" w:tentative="1">
      <w:start w:val="1"/>
      <w:numFmt w:val="upperLetter"/>
      <w:lvlText w:val="%5."/>
      <w:lvlJc w:val="left"/>
      <w:pPr>
        <w:ind w:left="3354" w:hanging="400"/>
      </w:pPr>
    </w:lvl>
    <w:lvl w:ilvl="5" w:tplc="0409001B" w:tentative="1">
      <w:start w:val="1"/>
      <w:numFmt w:val="lowerRoman"/>
      <w:lvlText w:val="%6."/>
      <w:lvlJc w:val="right"/>
      <w:pPr>
        <w:ind w:left="3754" w:hanging="400"/>
      </w:pPr>
    </w:lvl>
    <w:lvl w:ilvl="6" w:tplc="0409000F" w:tentative="1">
      <w:start w:val="1"/>
      <w:numFmt w:val="decimal"/>
      <w:lvlText w:val="%7."/>
      <w:lvlJc w:val="left"/>
      <w:pPr>
        <w:ind w:left="4154" w:hanging="400"/>
      </w:pPr>
    </w:lvl>
    <w:lvl w:ilvl="7" w:tplc="04090019" w:tentative="1">
      <w:start w:val="1"/>
      <w:numFmt w:val="upperLetter"/>
      <w:lvlText w:val="%8."/>
      <w:lvlJc w:val="left"/>
      <w:pPr>
        <w:ind w:left="4554" w:hanging="400"/>
      </w:pPr>
    </w:lvl>
    <w:lvl w:ilvl="8" w:tplc="0409001B" w:tentative="1">
      <w:start w:val="1"/>
      <w:numFmt w:val="lowerRoman"/>
      <w:lvlText w:val="%9."/>
      <w:lvlJc w:val="right"/>
      <w:pPr>
        <w:ind w:left="4954" w:hanging="400"/>
      </w:pPr>
    </w:lvl>
  </w:abstractNum>
  <w:abstractNum w:abstractNumId="3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4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FF75DE"/>
    <w:multiLevelType w:val="hybridMultilevel"/>
    <w:tmpl w:val="22B8629A"/>
    <w:lvl w:ilvl="0" w:tplc="A2D2CF30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94" w:hanging="400"/>
      </w:pPr>
    </w:lvl>
    <w:lvl w:ilvl="2" w:tplc="0409001B" w:tentative="1">
      <w:start w:val="1"/>
      <w:numFmt w:val="lowerRoman"/>
      <w:lvlText w:val="%3."/>
      <w:lvlJc w:val="right"/>
      <w:pPr>
        <w:ind w:left="2194" w:hanging="400"/>
      </w:pPr>
    </w:lvl>
    <w:lvl w:ilvl="3" w:tplc="0409000F" w:tentative="1">
      <w:start w:val="1"/>
      <w:numFmt w:val="decimal"/>
      <w:lvlText w:val="%4."/>
      <w:lvlJc w:val="left"/>
      <w:pPr>
        <w:ind w:left="2594" w:hanging="400"/>
      </w:pPr>
    </w:lvl>
    <w:lvl w:ilvl="4" w:tplc="04090019" w:tentative="1">
      <w:start w:val="1"/>
      <w:numFmt w:val="upperLetter"/>
      <w:lvlText w:val="%5."/>
      <w:lvlJc w:val="left"/>
      <w:pPr>
        <w:ind w:left="2994" w:hanging="400"/>
      </w:pPr>
    </w:lvl>
    <w:lvl w:ilvl="5" w:tplc="0409001B" w:tentative="1">
      <w:start w:val="1"/>
      <w:numFmt w:val="lowerRoman"/>
      <w:lvlText w:val="%6."/>
      <w:lvlJc w:val="right"/>
      <w:pPr>
        <w:ind w:left="3394" w:hanging="400"/>
      </w:pPr>
    </w:lvl>
    <w:lvl w:ilvl="6" w:tplc="0409000F" w:tentative="1">
      <w:start w:val="1"/>
      <w:numFmt w:val="decimal"/>
      <w:lvlText w:val="%7."/>
      <w:lvlJc w:val="left"/>
      <w:pPr>
        <w:ind w:left="3794" w:hanging="400"/>
      </w:pPr>
    </w:lvl>
    <w:lvl w:ilvl="7" w:tplc="04090019" w:tentative="1">
      <w:start w:val="1"/>
      <w:numFmt w:val="upperLetter"/>
      <w:lvlText w:val="%8."/>
      <w:lvlJc w:val="left"/>
      <w:pPr>
        <w:ind w:left="4194" w:hanging="400"/>
      </w:pPr>
    </w:lvl>
    <w:lvl w:ilvl="8" w:tplc="0409001B" w:tentative="1">
      <w:start w:val="1"/>
      <w:numFmt w:val="lowerRoman"/>
      <w:lvlText w:val="%9."/>
      <w:lvlJc w:val="right"/>
      <w:pPr>
        <w:ind w:left="4594" w:hanging="400"/>
      </w:pPr>
    </w:lvl>
  </w:abstractNum>
  <w:num w:numId="1">
    <w:abstractNumId w:val="1"/>
    <w:lvlOverride w:ilvl="0">
      <w:startOverride w:val="2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2CE"/>
    <w:rsid w:val="0002785A"/>
    <w:rsid w:val="00060478"/>
    <w:rsid w:val="00066DCF"/>
    <w:rsid w:val="001572EC"/>
    <w:rsid w:val="001A52CE"/>
    <w:rsid w:val="001E713E"/>
    <w:rsid w:val="00256A66"/>
    <w:rsid w:val="003E6F7C"/>
    <w:rsid w:val="006334DB"/>
    <w:rsid w:val="006807FB"/>
    <w:rsid w:val="007F01EA"/>
    <w:rsid w:val="00952DBE"/>
    <w:rsid w:val="009F3130"/>
    <w:rsid w:val="00B7369B"/>
    <w:rsid w:val="00B7580C"/>
    <w:rsid w:val="00B97C0F"/>
    <w:rsid w:val="00BD3ACD"/>
    <w:rsid w:val="00C65C72"/>
    <w:rsid w:val="00D20C16"/>
    <w:rsid w:val="00D84615"/>
    <w:rsid w:val="00E25176"/>
    <w:rsid w:val="00EF093B"/>
    <w:rsid w:val="00F56375"/>
    <w:rsid w:val="00F7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555046-15DC-4682-A249-917FCC52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customStyle="1" w:styleId="MDPI13authornames">
    <w:name w:val="MDPI_1.3_authornames"/>
    <w:basedOn w:val="Normal"/>
    <w:next w:val="Normal"/>
    <w:qFormat/>
    <w:rsid w:val="006807FB"/>
    <w:pPr>
      <w:adjustRightInd w:val="0"/>
      <w:snapToGrid w:val="0"/>
      <w:spacing w:after="120" w:line="260" w:lineRule="atLeast"/>
      <w:jc w:val="left"/>
    </w:pPr>
    <w:rPr>
      <w:rFonts w:ascii="Palatino Linotype" w:hAnsi="Palatino Linotype"/>
      <w:b/>
      <w:color w:val="000000"/>
      <w:szCs w:val="22"/>
      <w:lang w:eastAsia="de-DE" w:bidi="en-US"/>
    </w:rPr>
  </w:style>
  <w:style w:type="paragraph" w:customStyle="1" w:styleId="MDPI16affiliation">
    <w:name w:val="MDPI_1.6_affiliation"/>
    <w:basedOn w:val="Normal"/>
    <w:qFormat/>
    <w:rsid w:val="006807FB"/>
    <w:pPr>
      <w:adjustRightInd w:val="0"/>
      <w:snapToGrid w:val="0"/>
      <w:spacing w:line="200" w:lineRule="atLeast"/>
      <w:ind w:left="311" w:hanging="198"/>
      <w:jc w:val="left"/>
    </w:pPr>
    <w:rPr>
      <w:rFonts w:ascii="Palatino Linotype" w:hAnsi="Palatino Linotype"/>
      <w:color w:val="000000"/>
      <w:sz w:val="18"/>
      <w:szCs w:val="18"/>
      <w:lang w:eastAsia="de-DE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07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07FB"/>
    <w:pPr>
      <w:jc w:val="both"/>
    </w:pPr>
    <w:rPr>
      <w:color w:val="000000"/>
      <w:lang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07FB"/>
    <w:rPr>
      <w:rFonts w:ascii="Times New Roman" w:eastAsia="Times New Roman" w:hAnsi="Times New Roman" w:cs="Times New Roman"/>
      <w:color w:val="000000"/>
      <w:sz w:val="20"/>
      <w:szCs w:val="20"/>
      <w:lang w:val="en-US" w:eastAsia="de-DE"/>
    </w:rPr>
  </w:style>
  <w:style w:type="paragraph" w:customStyle="1" w:styleId="MDPI17abstract">
    <w:name w:val="MDPI_1.7_abstract"/>
    <w:basedOn w:val="Normal"/>
    <w:next w:val="Normal"/>
    <w:qFormat/>
    <w:rsid w:val="00D20C16"/>
    <w:pPr>
      <w:adjustRightInd w:val="0"/>
      <w:snapToGrid w:val="0"/>
      <w:spacing w:before="240" w:line="260" w:lineRule="atLeast"/>
      <w:ind w:left="113"/>
      <w:jc w:val="both"/>
    </w:pPr>
    <w:rPr>
      <w:rFonts w:ascii="Palatino Linotype" w:hAnsi="Palatino Linotype"/>
      <w:color w:val="000000"/>
      <w:szCs w:val="22"/>
      <w:lang w:eastAsia="de-DE" w:bidi="en-US"/>
    </w:rPr>
  </w:style>
  <w:style w:type="paragraph" w:customStyle="1" w:styleId="MDPI71References">
    <w:name w:val="MDPI_7.1_References"/>
    <w:basedOn w:val="Normal"/>
    <w:qFormat/>
    <w:rsid w:val="003E6F7C"/>
    <w:pPr>
      <w:numPr>
        <w:numId w:val="4"/>
      </w:numPr>
      <w:adjustRightInd w:val="0"/>
      <w:snapToGrid w:val="0"/>
      <w:spacing w:line="260" w:lineRule="atLeast"/>
      <w:ind w:left="425" w:hanging="425"/>
      <w:jc w:val="both"/>
    </w:pPr>
    <w:rPr>
      <w:rFonts w:ascii="Palatino Linotype" w:hAnsi="Palatino Linotype"/>
      <w:snapToGrid w:val="0"/>
      <w:color w:val="000000"/>
      <w:sz w:val="18"/>
      <w:lang w:eastAsia="de-DE" w:bidi="en-US"/>
    </w:rPr>
  </w:style>
  <w:style w:type="paragraph" w:styleId="ListParagraph">
    <w:name w:val="List Paragraph"/>
    <w:basedOn w:val="Normal"/>
    <w:uiPriority w:val="34"/>
    <w:qFormat/>
    <w:rsid w:val="003E6F7C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Ryoung Shin</cp:lastModifiedBy>
  <cp:revision>32</cp:revision>
  <dcterms:created xsi:type="dcterms:W3CDTF">2019-03-20T01:12:00Z</dcterms:created>
  <dcterms:modified xsi:type="dcterms:W3CDTF">2019-03-20T03:39:00Z</dcterms:modified>
</cp:coreProperties>
</file>