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52CE" w:rsidRDefault="001864D1" w:rsidP="001A52CE">
      <w:pPr>
        <w:jc w:val="both"/>
        <w:rPr>
          <w:rFonts w:eastAsia="MS PGothic"/>
          <w:b/>
          <w:color w:val="000000"/>
          <w:sz w:val="22"/>
          <w:szCs w:val="22"/>
        </w:rPr>
      </w:pPr>
      <w:r w:rsidRPr="001864D1">
        <w:rPr>
          <w:rFonts w:eastAsia="MS PGothic"/>
          <w:b/>
          <w:color w:val="000000"/>
          <w:sz w:val="22"/>
          <w:szCs w:val="22"/>
        </w:rPr>
        <w:t xml:space="preserve">Contrasting N-use efficient eggplants highlighted key morpho-physiological traits and differential expressed metabolites and genes related to N-metabolism   </w:t>
      </w:r>
    </w:p>
    <w:p w:rsidR="001864D1" w:rsidRPr="009D49B8" w:rsidRDefault="001864D1" w:rsidP="001A52CE">
      <w:pPr>
        <w:jc w:val="both"/>
        <w:rPr>
          <w:rFonts w:eastAsia="MS PGothic"/>
          <w:color w:val="000000"/>
          <w:sz w:val="22"/>
          <w:szCs w:val="22"/>
        </w:rPr>
      </w:pPr>
    </w:p>
    <w:p w:rsidR="001A52CE" w:rsidRPr="001864D1" w:rsidRDefault="001864D1" w:rsidP="001A52CE">
      <w:pPr>
        <w:shd w:val="clear" w:color="auto" w:fill="FFFFFF"/>
        <w:spacing w:after="150"/>
        <w:jc w:val="both"/>
        <w:rPr>
          <w:sz w:val="19"/>
          <w:szCs w:val="19"/>
          <w:lang w:val="it-IT" w:eastAsia="en-IN"/>
        </w:rPr>
      </w:pPr>
      <w:r w:rsidRPr="001864D1">
        <w:rPr>
          <w:b/>
          <w:bCs/>
          <w:sz w:val="19"/>
          <w:szCs w:val="19"/>
          <w:lang w:val="it-IT" w:eastAsia="en-IN"/>
        </w:rPr>
        <w:t>Antonio Mauceri</w:t>
      </w:r>
      <w:r w:rsidRPr="001864D1">
        <w:rPr>
          <w:b/>
          <w:bCs/>
          <w:sz w:val="19"/>
          <w:szCs w:val="19"/>
          <w:vertAlign w:val="superscript"/>
          <w:lang w:val="it-IT" w:eastAsia="en-IN"/>
        </w:rPr>
        <w:t>1</w:t>
      </w:r>
      <w:r w:rsidRPr="001864D1">
        <w:rPr>
          <w:b/>
          <w:bCs/>
          <w:sz w:val="19"/>
          <w:szCs w:val="19"/>
          <w:lang w:val="it-IT" w:eastAsia="en-IN"/>
        </w:rPr>
        <w:t>, Laura Bassolino</w:t>
      </w:r>
      <w:r w:rsidRPr="001864D1">
        <w:rPr>
          <w:b/>
          <w:bCs/>
          <w:sz w:val="19"/>
          <w:szCs w:val="19"/>
          <w:vertAlign w:val="superscript"/>
          <w:lang w:val="it-IT" w:eastAsia="en-IN"/>
        </w:rPr>
        <w:t>2</w:t>
      </w:r>
      <w:r w:rsidRPr="001864D1">
        <w:rPr>
          <w:b/>
          <w:bCs/>
          <w:sz w:val="19"/>
          <w:szCs w:val="19"/>
          <w:lang w:val="it-IT" w:eastAsia="en-IN"/>
        </w:rPr>
        <w:t>, Antonio Lupini</w:t>
      </w:r>
      <w:r w:rsidRPr="001864D1">
        <w:rPr>
          <w:b/>
          <w:bCs/>
          <w:sz w:val="19"/>
          <w:szCs w:val="19"/>
          <w:vertAlign w:val="superscript"/>
          <w:lang w:val="it-IT" w:eastAsia="en-IN"/>
        </w:rPr>
        <w:t>1</w:t>
      </w:r>
      <w:r w:rsidRPr="001864D1">
        <w:rPr>
          <w:b/>
          <w:bCs/>
          <w:sz w:val="19"/>
          <w:szCs w:val="19"/>
          <w:lang w:val="it-IT" w:eastAsia="en-IN"/>
        </w:rPr>
        <w:t>, Franz Badeck</w:t>
      </w:r>
      <w:r w:rsidRPr="001864D1">
        <w:rPr>
          <w:b/>
          <w:bCs/>
          <w:sz w:val="19"/>
          <w:szCs w:val="19"/>
          <w:vertAlign w:val="superscript"/>
          <w:lang w:val="it-IT" w:eastAsia="en-IN"/>
        </w:rPr>
        <w:t>3</w:t>
      </w:r>
      <w:r w:rsidRPr="001864D1">
        <w:rPr>
          <w:b/>
          <w:bCs/>
          <w:sz w:val="19"/>
          <w:szCs w:val="19"/>
          <w:lang w:val="it-IT" w:eastAsia="en-IN"/>
        </w:rPr>
        <w:t>, Fulvia Rizza</w:t>
      </w:r>
      <w:r w:rsidRPr="001864D1">
        <w:rPr>
          <w:b/>
          <w:bCs/>
          <w:sz w:val="19"/>
          <w:szCs w:val="19"/>
          <w:vertAlign w:val="superscript"/>
          <w:lang w:val="it-IT" w:eastAsia="en-IN"/>
        </w:rPr>
        <w:t>3</w:t>
      </w:r>
      <w:r w:rsidRPr="001864D1">
        <w:rPr>
          <w:b/>
          <w:bCs/>
          <w:sz w:val="19"/>
          <w:szCs w:val="19"/>
          <w:lang w:val="it-IT" w:eastAsia="en-IN"/>
        </w:rPr>
        <w:t>, Massimo Schiavi</w:t>
      </w:r>
      <w:r w:rsidRPr="001864D1">
        <w:rPr>
          <w:b/>
          <w:bCs/>
          <w:sz w:val="19"/>
          <w:szCs w:val="19"/>
          <w:vertAlign w:val="superscript"/>
          <w:lang w:val="it-IT" w:eastAsia="en-IN"/>
        </w:rPr>
        <w:t>2</w:t>
      </w:r>
      <w:r w:rsidRPr="001864D1">
        <w:rPr>
          <w:b/>
          <w:bCs/>
          <w:sz w:val="19"/>
          <w:szCs w:val="19"/>
          <w:lang w:val="it-IT" w:eastAsia="en-IN"/>
        </w:rPr>
        <w:t>, Laura Toppino</w:t>
      </w:r>
      <w:r w:rsidRPr="001864D1">
        <w:rPr>
          <w:b/>
          <w:bCs/>
          <w:sz w:val="19"/>
          <w:szCs w:val="19"/>
          <w:vertAlign w:val="superscript"/>
          <w:lang w:val="it-IT" w:eastAsia="en-IN"/>
        </w:rPr>
        <w:t>2</w:t>
      </w:r>
      <w:r w:rsidRPr="001864D1">
        <w:rPr>
          <w:b/>
          <w:bCs/>
          <w:sz w:val="19"/>
          <w:szCs w:val="19"/>
          <w:lang w:val="it-IT" w:eastAsia="en-IN"/>
        </w:rPr>
        <w:t>, Maria R. Abenavoli</w:t>
      </w:r>
      <w:r w:rsidRPr="001864D1">
        <w:rPr>
          <w:b/>
          <w:bCs/>
          <w:sz w:val="19"/>
          <w:szCs w:val="19"/>
          <w:vertAlign w:val="superscript"/>
          <w:lang w:val="it-IT" w:eastAsia="en-IN"/>
        </w:rPr>
        <w:t>1</w:t>
      </w:r>
      <w:r w:rsidRPr="001864D1">
        <w:rPr>
          <w:b/>
          <w:bCs/>
          <w:sz w:val="19"/>
          <w:szCs w:val="19"/>
          <w:lang w:val="it-IT" w:eastAsia="en-IN"/>
        </w:rPr>
        <w:t>, Giuseppe L. Rotino</w:t>
      </w:r>
      <w:r w:rsidRPr="001864D1">
        <w:rPr>
          <w:b/>
          <w:bCs/>
          <w:sz w:val="19"/>
          <w:szCs w:val="19"/>
          <w:vertAlign w:val="superscript"/>
          <w:lang w:val="it-IT" w:eastAsia="en-IN"/>
        </w:rPr>
        <w:t>2</w:t>
      </w:r>
      <w:r w:rsidRPr="001864D1">
        <w:rPr>
          <w:b/>
          <w:bCs/>
          <w:sz w:val="19"/>
          <w:szCs w:val="19"/>
          <w:lang w:val="it-IT" w:eastAsia="en-IN"/>
        </w:rPr>
        <w:t>, Francesco Sunseri</w:t>
      </w:r>
      <w:r w:rsidRPr="001864D1">
        <w:rPr>
          <w:b/>
          <w:bCs/>
          <w:sz w:val="19"/>
          <w:szCs w:val="19"/>
          <w:vertAlign w:val="superscript"/>
          <w:lang w:val="it-IT" w:eastAsia="en-IN"/>
        </w:rPr>
        <w:t>1</w:t>
      </w:r>
      <w:r w:rsidR="001A52CE" w:rsidRPr="001864D1">
        <w:rPr>
          <w:b/>
          <w:bCs/>
          <w:sz w:val="19"/>
          <w:szCs w:val="19"/>
          <w:lang w:val="it-IT" w:eastAsia="en-IN"/>
        </w:rPr>
        <w:t xml:space="preserve"> </w:t>
      </w:r>
    </w:p>
    <w:p w:rsidR="001864D1" w:rsidRPr="001864D1" w:rsidRDefault="001864D1" w:rsidP="001864D1">
      <w:pPr>
        <w:jc w:val="both"/>
        <w:rPr>
          <w:sz w:val="19"/>
          <w:szCs w:val="19"/>
          <w:lang w:val="it-IT" w:eastAsia="en-IN"/>
        </w:rPr>
      </w:pPr>
      <w:r w:rsidRPr="001864D1">
        <w:rPr>
          <w:sz w:val="19"/>
          <w:szCs w:val="19"/>
          <w:vertAlign w:val="superscript"/>
          <w:lang w:val="it-IT" w:eastAsia="en-IN"/>
        </w:rPr>
        <w:t>1</w:t>
      </w:r>
      <w:r>
        <w:rPr>
          <w:sz w:val="19"/>
          <w:szCs w:val="19"/>
          <w:vertAlign w:val="superscript"/>
          <w:lang w:val="it-IT" w:eastAsia="en-IN"/>
        </w:rPr>
        <w:t xml:space="preserve"> </w:t>
      </w:r>
      <w:r w:rsidRPr="001864D1">
        <w:rPr>
          <w:sz w:val="19"/>
          <w:szCs w:val="19"/>
          <w:lang w:val="it-IT" w:eastAsia="en-IN"/>
        </w:rPr>
        <w:t xml:space="preserve">Dipartimento </w:t>
      </w:r>
      <w:r w:rsidRPr="00CD164E">
        <w:rPr>
          <w:caps/>
          <w:sz w:val="19"/>
          <w:szCs w:val="19"/>
          <w:lang w:val="it-IT" w:eastAsia="en-IN"/>
        </w:rPr>
        <w:t>Agraria</w:t>
      </w:r>
      <w:r w:rsidRPr="001864D1">
        <w:rPr>
          <w:sz w:val="19"/>
          <w:szCs w:val="19"/>
          <w:lang w:val="it-IT" w:eastAsia="en-IN"/>
        </w:rPr>
        <w:t xml:space="preserve">, Università degli Studi </w:t>
      </w:r>
      <w:r w:rsidRPr="00CD164E">
        <w:rPr>
          <w:i/>
          <w:sz w:val="19"/>
          <w:szCs w:val="19"/>
          <w:lang w:val="it-IT" w:eastAsia="en-IN"/>
        </w:rPr>
        <w:t>Mediterranea</w:t>
      </w:r>
      <w:r w:rsidRPr="001864D1">
        <w:rPr>
          <w:sz w:val="19"/>
          <w:szCs w:val="19"/>
          <w:lang w:val="it-IT" w:eastAsia="en-IN"/>
        </w:rPr>
        <w:t xml:space="preserve"> di Reggio Calabria, Loc. Feo di Vito snc, I-89124 Reggio Calabria – Italy</w:t>
      </w:r>
    </w:p>
    <w:p w:rsidR="001864D1" w:rsidRPr="001864D1" w:rsidRDefault="001864D1" w:rsidP="001864D1">
      <w:pPr>
        <w:jc w:val="both"/>
        <w:rPr>
          <w:sz w:val="19"/>
          <w:szCs w:val="19"/>
          <w:lang w:val="it-IT" w:eastAsia="en-IN"/>
        </w:rPr>
      </w:pPr>
      <w:r w:rsidRPr="001864D1">
        <w:rPr>
          <w:sz w:val="19"/>
          <w:szCs w:val="19"/>
          <w:vertAlign w:val="superscript"/>
          <w:lang w:val="it-IT" w:eastAsia="en-IN"/>
        </w:rPr>
        <w:t>2</w:t>
      </w:r>
      <w:r>
        <w:rPr>
          <w:sz w:val="19"/>
          <w:szCs w:val="19"/>
          <w:vertAlign w:val="superscript"/>
          <w:lang w:val="it-IT" w:eastAsia="en-IN"/>
        </w:rPr>
        <w:t xml:space="preserve"> </w:t>
      </w:r>
      <w:r w:rsidRPr="001864D1">
        <w:rPr>
          <w:sz w:val="19"/>
          <w:szCs w:val="19"/>
          <w:lang w:val="it-IT" w:eastAsia="en-IN"/>
        </w:rPr>
        <w:t>CREA – Centro di ricerca Genomica e Bioinformatica – Via Paullese 28 – I-26836 Montanaso Lombardo (LO) – Italy</w:t>
      </w:r>
    </w:p>
    <w:p w:rsidR="001A52CE" w:rsidRPr="001864D1" w:rsidRDefault="001864D1" w:rsidP="001864D1">
      <w:pPr>
        <w:jc w:val="both"/>
        <w:rPr>
          <w:rFonts w:eastAsia="MS Mincho"/>
          <w:sz w:val="19"/>
          <w:szCs w:val="19"/>
          <w:lang w:val="it-IT"/>
        </w:rPr>
      </w:pPr>
      <w:r w:rsidRPr="001864D1">
        <w:rPr>
          <w:sz w:val="19"/>
          <w:szCs w:val="19"/>
          <w:vertAlign w:val="superscript"/>
          <w:lang w:val="it-IT" w:eastAsia="en-IN"/>
        </w:rPr>
        <w:t>3</w:t>
      </w:r>
      <w:r>
        <w:rPr>
          <w:sz w:val="19"/>
          <w:szCs w:val="19"/>
          <w:lang w:val="it-IT" w:eastAsia="en-IN"/>
        </w:rPr>
        <w:t xml:space="preserve"> </w:t>
      </w:r>
      <w:r w:rsidRPr="001864D1">
        <w:rPr>
          <w:sz w:val="19"/>
          <w:szCs w:val="19"/>
          <w:lang w:val="it-IT" w:eastAsia="en-IN"/>
        </w:rPr>
        <w:t>CREA – Centro di ricerca Genomica e Bioinformatica – Via San Protaso, 302 – I-29017 Fiorenzuola d’Arda (PC) – Italy</w:t>
      </w:r>
    </w:p>
    <w:p w:rsidR="001A52CE" w:rsidRPr="001864D1" w:rsidRDefault="001A52CE" w:rsidP="001A52CE">
      <w:pPr>
        <w:jc w:val="both"/>
        <w:rPr>
          <w:rFonts w:eastAsia="MS Mincho"/>
          <w:sz w:val="19"/>
          <w:szCs w:val="19"/>
          <w:lang w:val="it-IT"/>
        </w:rPr>
      </w:pPr>
    </w:p>
    <w:p w:rsidR="001A52CE" w:rsidRPr="001864D1" w:rsidRDefault="001A52CE" w:rsidP="001A52CE">
      <w:pPr>
        <w:jc w:val="both"/>
        <w:rPr>
          <w:rFonts w:eastAsia="MS Mincho"/>
          <w:sz w:val="19"/>
          <w:szCs w:val="19"/>
          <w:lang w:val="it-IT"/>
        </w:rPr>
        <w:sectPr w:rsidR="001A52CE" w:rsidRPr="001864D1" w:rsidSect="009714B2">
          <w:type w:val="continuous"/>
          <w:pgSz w:w="11909" w:h="16834" w:code="9"/>
          <w:pgMar w:top="1077" w:right="731" w:bottom="1985" w:left="731" w:header="720" w:footer="720" w:gutter="0"/>
          <w:cols w:space="720"/>
          <w:docGrid w:linePitch="360"/>
        </w:sectPr>
      </w:pPr>
    </w:p>
    <w:p w:rsidR="001A52CE" w:rsidRPr="000F7891" w:rsidRDefault="001A52CE" w:rsidP="00E47928">
      <w:pPr>
        <w:pStyle w:val="keywords"/>
        <w:spacing w:after="0"/>
        <w:ind w:firstLine="0"/>
        <w:rPr>
          <w:b w:val="0"/>
          <w:bCs w:val="0"/>
          <w:i w:val="0"/>
          <w:iCs w:val="0"/>
          <w:noProof w:val="0"/>
          <w:sz w:val="19"/>
          <w:szCs w:val="19"/>
          <w:lang w:val="en-IN" w:eastAsia="en-IN"/>
        </w:rPr>
      </w:pPr>
      <w:r>
        <w:rPr>
          <w:bCs w:val="0"/>
          <w:i w:val="0"/>
          <w:iCs w:val="0"/>
          <w:noProof w:val="0"/>
          <w:sz w:val="19"/>
          <w:szCs w:val="19"/>
          <w:lang w:val="en-IN" w:eastAsia="en-IN"/>
        </w:rPr>
        <w:t xml:space="preserve">Keywords: </w:t>
      </w:r>
      <w:r w:rsidR="00127405" w:rsidRPr="000F7891">
        <w:rPr>
          <w:b w:val="0"/>
          <w:bCs w:val="0"/>
          <w:iCs w:val="0"/>
          <w:noProof w:val="0"/>
          <w:sz w:val="19"/>
          <w:szCs w:val="19"/>
          <w:lang w:val="en-IN" w:eastAsia="en-IN"/>
        </w:rPr>
        <w:t>Solanum melongena</w:t>
      </w:r>
      <w:r w:rsidR="00127405" w:rsidRPr="000F7891">
        <w:rPr>
          <w:b w:val="0"/>
          <w:bCs w:val="0"/>
          <w:i w:val="0"/>
          <w:iCs w:val="0"/>
          <w:noProof w:val="0"/>
          <w:sz w:val="19"/>
          <w:szCs w:val="19"/>
          <w:lang w:val="en-IN" w:eastAsia="en-IN"/>
        </w:rPr>
        <w:t xml:space="preserve"> L.</w:t>
      </w:r>
      <w:r w:rsidRPr="000F7891">
        <w:rPr>
          <w:b w:val="0"/>
          <w:bCs w:val="0"/>
          <w:i w:val="0"/>
          <w:iCs w:val="0"/>
          <w:noProof w:val="0"/>
          <w:sz w:val="19"/>
          <w:szCs w:val="19"/>
          <w:lang w:val="en-IN" w:eastAsia="en-IN"/>
        </w:rPr>
        <w:t xml:space="preserve">, </w:t>
      </w:r>
      <w:r w:rsidR="00127405" w:rsidRPr="000F7891">
        <w:rPr>
          <w:b w:val="0"/>
          <w:bCs w:val="0"/>
          <w:i w:val="0"/>
          <w:iCs w:val="0"/>
          <w:noProof w:val="0"/>
          <w:sz w:val="19"/>
          <w:szCs w:val="19"/>
          <w:lang w:val="en-IN" w:eastAsia="en-IN"/>
        </w:rPr>
        <w:t>Nitrogen Use Efficiency (NUE)</w:t>
      </w:r>
      <w:r w:rsidRPr="000F7891">
        <w:rPr>
          <w:b w:val="0"/>
          <w:bCs w:val="0"/>
          <w:i w:val="0"/>
          <w:iCs w:val="0"/>
          <w:noProof w:val="0"/>
          <w:sz w:val="19"/>
          <w:szCs w:val="19"/>
          <w:lang w:val="en-IN" w:eastAsia="en-IN"/>
        </w:rPr>
        <w:t xml:space="preserve">, </w:t>
      </w:r>
      <w:r w:rsidR="00127405" w:rsidRPr="000F7891">
        <w:rPr>
          <w:b w:val="0"/>
          <w:bCs w:val="0"/>
          <w:i w:val="0"/>
          <w:iCs w:val="0"/>
          <w:noProof w:val="0"/>
          <w:sz w:val="19"/>
          <w:szCs w:val="19"/>
          <w:lang w:val="en-IN" w:eastAsia="en-IN"/>
        </w:rPr>
        <w:t>Root Architecture, Transcriptomics, Metabolomics</w:t>
      </w:r>
    </w:p>
    <w:p w:rsidR="001A52CE" w:rsidRPr="0005164C" w:rsidRDefault="001A52CE" w:rsidP="00E47928">
      <w:pPr>
        <w:pStyle w:val="keywords"/>
        <w:spacing w:after="0"/>
        <w:ind w:firstLine="0"/>
        <w:rPr>
          <w:b w:val="0"/>
          <w:bCs w:val="0"/>
          <w:i w:val="0"/>
          <w:iCs w:val="0"/>
          <w:noProof w:val="0"/>
          <w:sz w:val="19"/>
          <w:szCs w:val="19"/>
          <w:lang w:val="en-IN" w:eastAsia="en-IN"/>
        </w:rPr>
      </w:pPr>
    </w:p>
    <w:p w:rsidR="001A52CE" w:rsidRPr="0005164C" w:rsidRDefault="001A52CE" w:rsidP="001A52CE">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rsidR="000F7891" w:rsidRPr="000F7891" w:rsidRDefault="000F7891" w:rsidP="000F7891">
      <w:pPr>
        <w:jc w:val="both"/>
        <w:rPr>
          <w:sz w:val="19"/>
          <w:szCs w:val="19"/>
          <w:lang w:val="en-IN" w:eastAsia="en-IN"/>
        </w:rPr>
      </w:pPr>
      <w:r w:rsidRPr="000F7891">
        <w:rPr>
          <w:sz w:val="19"/>
          <w:szCs w:val="19"/>
          <w:lang w:val="en-IN" w:eastAsia="en-IN"/>
        </w:rPr>
        <w:t>Eggplant (</w:t>
      </w:r>
      <w:r w:rsidRPr="000F7891">
        <w:rPr>
          <w:i/>
          <w:sz w:val="19"/>
          <w:szCs w:val="19"/>
          <w:lang w:val="en-IN" w:eastAsia="en-IN"/>
        </w:rPr>
        <w:t>Solanum melongena</w:t>
      </w:r>
      <w:r w:rsidRPr="000F7891">
        <w:rPr>
          <w:sz w:val="19"/>
          <w:szCs w:val="19"/>
          <w:lang w:val="en-IN" w:eastAsia="en-IN"/>
        </w:rPr>
        <w:t xml:space="preserve"> L.) yield is highly sensitive to N fertilization, whose excessive use is responsible of environment</w:t>
      </w:r>
      <w:r w:rsidR="00E47928">
        <w:rPr>
          <w:sz w:val="19"/>
          <w:szCs w:val="19"/>
          <w:lang w:val="en-IN" w:eastAsia="en-IN"/>
        </w:rPr>
        <w:t>al</w:t>
      </w:r>
      <w:r w:rsidRPr="000F7891">
        <w:rPr>
          <w:sz w:val="19"/>
          <w:szCs w:val="19"/>
          <w:lang w:val="en-IN" w:eastAsia="en-IN"/>
        </w:rPr>
        <w:t xml:space="preserve"> damages. Lowering N input together with the selection of improved Nitrogen-Use-Efficiency (NUE) genotypes, more able to uptake (NUpE), utilize (NUtE) and remobilize N available in soils, could be challenging to maintain high yields. The aim of this study was to explore the natural variation among 19 eggplant accessions in response to low and high NO</w:t>
      </w:r>
      <w:r w:rsidRPr="000F7891">
        <w:rPr>
          <w:sz w:val="19"/>
          <w:szCs w:val="19"/>
          <w:vertAlign w:val="subscript"/>
          <w:lang w:val="en-IN" w:eastAsia="en-IN"/>
        </w:rPr>
        <w:t>3</w:t>
      </w:r>
      <w:r w:rsidRPr="000F7891">
        <w:rPr>
          <w:sz w:val="19"/>
          <w:szCs w:val="19"/>
          <w:vertAlign w:val="superscript"/>
          <w:lang w:val="en-IN" w:eastAsia="en-IN"/>
        </w:rPr>
        <w:t>-</w:t>
      </w:r>
      <w:r w:rsidRPr="000F7891">
        <w:rPr>
          <w:sz w:val="19"/>
          <w:szCs w:val="19"/>
          <w:lang w:val="en-IN" w:eastAsia="en-IN"/>
        </w:rPr>
        <w:t xml:space="preserve"> supply to identify NUE-contrasting genotypes, in hydroponic and greenhouse experiments. AM222 and AM22 accessions were identified in both growing systems as N-use efficient and inefficient, respectively. Overall, the results indicated the key role of N-utilization component (NUtE) to confer high NUE. The higher N-content in AM222 fruits suggesting the efficient N-remobilization as a strategy to enhance NUtE, suggesting GS as a key enzyme. </w:t>
      </w:r>
    </w:p>
    <w:p w:rsidR="000F7891" w:rsidRPr="000F7891" w:rsidRDefault="000F7891" w:rsidP="000F7891">
      <w:pPr>
        <w:jc w:val="both"/>
        <w:rPr>
          <w:sz w:val="19"/>
          <w:szCs w:val="19"/>
          <w:lang w:val="en-IN" w:eastAsia="en-IN"/>
        </w:rPr>
      </w:pPr>
      <w:r w:rsidRPr="000F7891">
        <w:rPr>
          <w:sz w:val="19"/>
          <w:szCs w:val="19"/>
          <w:lang w:val="en-IN" w:eastAsia="en-IN"/>
        </w:rPr>
        <w:t xml:space="preserve">To deeply understanding the mechanisms underlying NUE complex trait, </w:t>
      </w:r>
      <w:r w:rsidR="00E47928">
        <w:rPr>
          <w:sz w:val="19"/>
          <w:szCs w:val="19"/>
          <w:lang w:val="en-IN" w:eastAsia="en-IN"/>
        </w:rPr>
        <w:t>AM222 and AM22</w:t>
      </w:r>
      <w:r w:rsidRPr="000F7891">
        <w:rPr>
          <w:sz w:val="19"/>
          <w:szCs w:val="19"/>
          <w:lang w:val="en-IN" w:eastAsia="en-IN"/>
        </w:rPr>
        <w:t xml:space="preserve"> were employed for both transcriptomics and metabolomics approaches. </w:t>
      </w:r>
      <w:r w:rsidR="00327B21">
        <w:rPr>
          <w:sz w:val="19"/>
          <w:szCs w:val="19"/>
          <w:lang w:val="en-IN" w:eastAsia="en-IN"/>
        </w:rPr>
        <w:t>S</w:t>
      </w:r>
      <w:r w:rsidRPr="000F7891">
        <w:rPr>
          <w:sz w:val="19"/>
          <w:szCs w:val="19"/>
          <w:lang w:val="en-IN" w:eastAsia="en-IN"/>
        </w:rPr>
        <w:t>hort- and long-term N-stress</w:t>
      </w:r>
      <w:r w:rsidR="00327B21">
        <w:rPr>
          <w:sz w:val="19"/>
          <w:szCs w:val="19"/>
          <w:lang w:val="en-IN" w:eastAsia="en-IN"/>
        </w:rPr>
        <w:t xml:space="preserve"> were adopted in </w:t>
      </w:r>
      <w:r w:rsidRPr="000F7891">
        <w:rPr>
          <w:sz w:val="19"/>
          <w:szCs w:val="19"/>
          <w:lang w:val="en-IN" w:eastAsia="en-IN"/>
        </w:rPr>
        <w:t xml:space="preserve">the same experimental design </w:t>
      </w:r>
      <w:r w:rsidR="00327B21">
        <w:rPr>
          <w:sz w:val="19"/>
          <w:szCs w:val="19"/>
          <w:lang w:val="en-IN" w:eastAsia="en-IN"/>
        </w:rPr>
        <w:t>for both -omics approaches</w:t>
      </w:r>
      <w:r w:rsidRPr="000F7891">
        <w:rPr>
          <w:sz w:val="19"/>
          <w:szCs w:val="19"/>
          <w:lang w:val="en-IN" w:eastAsia="en-IN"/>
        </w:rPr>
        <w:t xml:space="preserve">. Metabolomics results highlighted that alanine, aspartate and glutamate metabolism was highly affected in </w:t>
      </w:r>
      <w:r w:rsidR="00E47928">
        <w:rPr>
          <w:sz w:val="19"/>
          <w:szCs w:val="19"/>
          <w:lang w:val="en-IN" w:eastAsia="en-IN"/>
        </w:rPr>
        <w:t>AM222</w:t>
      </w:r>
      <w:r w:rsidRPr="000F7891">
        <w:rPr>
          <w:sz w:val="19"/>
          <w:szCs w:val="19"/>
          <w:lang w:val="en-IN" w:eastAsia="en-IN"/>
        </w:rPr>
        <w:t>, while RNA-seq analysis underlined differential gene transcripts involved in processes of reactive oxygen species (ROS) rate</w:t>
      </w:r>
      <w:r w:rsidRPr="000F7891">
        <w:rPr>
          <w:rFonts w:ascii="Cambria Math" w:hAnsi="Cambria Math" w:cs="Cambria Math"/>
          <w:sz w:val="19"/>
          <w:szCs w:val="19"/>
          <w:lang w:val="en-IN" w:eastAsia="en-IN"/>
        </w:rPr>
        <w:t>‐</w:t>
      </w:r>
      <w:r w:rsidRPr="000F7891">
        <w:rPr>
          <w:sz w:val="19"/>
          <w:szCs w:val="19"/>
          <w:lang w:val="en-IN" w:eastAsia="en-IN"/>
        </w:rPr>
        <w:t xml:space="preserve">limiting production that could be attributed to a higher antioxidant activity ability of N-use efficient genotype. </w:t>
      </w:r>
    </w:p>
    <w:p w:rsidR="001A52CE" w:rsidRDefault="000F7891" w:rsidP="000F7891">
      <w:pPr>
        <w:jc w:val="both"/>
        <w:rPr>
          <w:sz w:val="19"/>
          <w:szCs w:val="19"/>
          <w:lang w:val="en-IN" w:eastAsia="en-IN"/>
        </w:rPr>
      </w:pPr>
      <w:r w:rsidRPr="000F7891">
        <w:rPr>
          <w:sz w:val="19"/>
          <w:szCs w:val="19"/>
          <w:lang w:val="en-IN" w:eastAsia="en-IN"/>
        </w:rPr>
        <w:t>Overall, here we demonstrated the predominant role of NUtE to confer high NUE in eggplant. More interestingly, a</w:t>
      </w:r>
      <w:r w:rsidR="00327B21">
        <w:rPr>
          <w:sz w:val="19"/>
          <w:szCs w:val="19"/>
          <w:lang w:val="en-IN" w:eastAsia="en-IN"/>
        </w:rPr>
        <w:t>n</w:t>
      </w:r>
      <w:r w:rsidRPr="000F7891">
        <w:rPr>
          <w:sz w:val="19"/>
          <w:szCs w:val="19"/>
          <w:lang w:val="en-IN" w:eastAsia="en-IN"/>
        </w:rPr>
        <w:t xml:space="preserve"> integrated network of differential expressed genes and metabolites belong</w:t>
      </w:r>
      <w:r w:rsidR="00327B21">
        <w:rPr>
          <w:sz w:val="19"/>
          <w:szCs w:val="19"/>
          <w:lang w:val="en-IN" w:eastAsia="en-IN"/>
        </w:rPr>
        <w:t xml:space="preserve"> </w:t>
      </w:r>
      <w:r w:rsidRPr="000F7891">
        <w:rPr>
          <w:sz w:val="19"/>
          <w:szCs w:val="19"/>
          <w:lang w:val="en-IN" w:eastAsia="en-IN"/>
        </w:rPr>
        <w:t xml:space="preserve">NUtE between </w:t>
      </w:r>
      <w:r w:rsidR="00327B21">
        <w:rPr>
          <w:sz w:val="19"/>
          <w:szCs w:val="19"/>
          <w:lang w:val="en-IN" w:eastAsia="en-IN"/>
        </w:rPr>
        <w:t>AM222 and AM22 were discovered</w:t>
      </w:r>
      <w:r w:rsidRPr="000F7891">
        <w:rPr>
          <w:sz w:val="19"/>
          <w:szCs w:val="19"/>
          <w:lang w:val="en-IN" w:eastAsia="en-IN"/>
        </w:rPr>
        <w:t>.</w:t>
      </w:r>
    </w:p>
    <w:p w:rsidR="00327B21" w:rsidRDefault="00327B21" w:rsidP="000F7891">
      <w:pPr>
        <w:jc w:val="both"/>
        <w:rPr>
          <w:sz w:val="19"/>
          <w:szCs w:val="19"/>
          <w:lang w:val="en-IN" w:eastAsia="en-IN"/>
        </w:rPr>
      </w:pPr>
    </w:p>
    <w:p w:rsidR="001A52CE" w:rsidRDefault="001A52CE" w:rsidP="001A52CE">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ED1FE7" w:rsidRDefault="00ED1FE7" w:rsidP="00ED1FE7">
      <w:pPr>
        <w:ind w:left="1714"/>
        <w:jc w:val="both"/>
        <w:rPr>
          <w:b/>
          <w:sz w:val="19"/>
          <w:szCs w:val="19"/>
        </w:rPr>
      </w:pPr>
    </w:p>
    <w:p w:rsidR="0085646F" w:rsidRPr="0005164C" w:rsidRDefault="00ED1FE7" w:rsidP="00ED1FE7">
      <w:pPr>
        <w:ind w:left="142"/>
        <w:jc w:val="left"/>
        <w:rPr>
          <w:b/>
          <w:sz w:val="19"/>
          <w:szCs w:val="19"/>
        </w:rPr>
      </w:pPr>
      <w:r>
        <w:rPr>
          <w:rFonts w:eastAsia="Calibri"/>
          <w:noProof/>
          <w:sz w:val="24"/>
          <w:szCs w:val="24"/>
          <w:lang w:eastAsia="it-IT"/>
        </w:rPr>
        <w:drawing>
          <wp:inline distT="0" distB="0" distL="0" distR="0" wp14:anchorId="358DFD36">
            <wp:extent cx="2486786" cy="1947333"/>
            <wp:effectExtent l="0" t="0" r="254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ra.png"/>
                    <pic:cNvPicPr/>
                  </pic:nvPicPr>
                  <pic:blipFill rotWithShape="1">
                    <a:blip r:embed="rId5">
                      <a:extLst>
                        <a:ext uri="{28A0092B-C50C-407E-A947-70E740481C1C}">
                          <a14:useLocalDpi xmlns:a14="http://schemas.microsoft.com/office/drawing/2010/main" val="0"/>
                        </a:ext>
                      </a:extLst>
                    </a:blip>
                    <a:srcRect l="54018" t="3482" r="3886" b="71782"/>
                    <a:stretch/>
                  </pic:blipFill>
                  <pic:spPr bwMode="auto">
                    <a:xfrm>
                      <a:off x="0" y="0"/>
                      <a:ext cx="2489600" cy="1949536"/>
                    </a:xfrm>
                    <a:prstGeom prst="rect">
                      <a:avLst/>
                    </a:prstGeom>
                    <a:ln>
                      <a:noFill/>
                    </a:ln>
                    <a:extLst>
                      <a:ext uri="{53640926-AAD7-44D8-BBD7-CCE9431645EC}">
                        <a14:shadowObscured xmlns:a14="http://schemas.microsoft.com/office/drawing/2010/main"/>
                      </a:ext>
                    </a:extLst>
                  </pic:spPr>
                </pic:pic>
              </a:graphicData>
            </a:graphic>
          </wp:inline>
        </w:drawing>
      </w:r>
    </w:p>
    <w:p w:rsidR="001A52CE" w:rsidRPr="0005164C" w:rsidRDefault="001A52CE" w:rsidP="001A52CE">
      <w:pPr>
        <w:rPr>
          <w:sz w:val="19"/>
          <w:szCs w:val="19"/>
        </w:rPr>
      </w:pPr>
    </w:p>
    <w:p w:rsidR="001A52CE" w:rsidRPr="0005164C" w:rsidRDefault="001A52CE" w:rsidP="009A6B2C">
      <w:pPr>
        <w:pStyle w:val="Corpotesto"/>
        <w:ind w:left="426" w:firstLine="0"/>
        <w:rPr>
          <w:sz w:val="19"/>
          <w:szCs w:val="19"/>
        </w:rPr>
      </w:pPr>
    </w:p>
    <w:p w:rsidR="001A52CE" w:rsidRPr="0005164C" w:rsidRDefault="001A52CE" w:rsidP="001A52CE">
      <w:pPr>
        <w:pStyle w:val="Corpotesto"/>
        <w:numPr>
          <w:ilvl w:val="0"/>
          <w:numId w:val="2"/>
        </w:numPr>
        <w:jc w:val="left"/>
        <w:rPr>
          <w:b/>
          <w:sz w:val="19"/>
          <w:szCs w:val="19"/>
        </w:rPr>
      </w:pPr>
      <w:r w:rsidRPr="0005164C">
        <w:rPr>
          <w:b/>
          <w:sz w:val="19"/>
          <w:szCs w:val="19"/>
        </w:rPr>
        <w:t>Reference:</w:t>
      </w:r>
    </w:p>
    <w:p w:rsidR="001647DC" w:rsidRDefault="00540F78" w:rsidP="001647DC">
      <w:pPr>
        <w:numPr>
          <w:ilvl w:val="0"/>
          <w:numId w:val="4"/>
        </w:numPr>
        <w:shd w:val="clear" w:color="auto" w:fill="FFFFFF"/>
        <w:ind w:left="284" w:hanging="284"/>
        <w:jc w:val="both"/>
        <w:rPr>
          <w:sz w:val="19"/>
          <w:szCs w:val="19"/>
          <w:lang w:val="en-IN" w:eastAsia="en-IN"/>
        </w:rPr>
      </w:pPr>
      <w:bookmarkStart w:id="0" w:name="2"/>
      <w:bookmarkEnd w:id="0"/>
      <w:r w:rsidRPr="00540F78">
        <w:rPr>
          <w:sz w:val="19"/>
          <w:szCs w:val="19"/>
          <w:lang w:val="en-IN" w:eastAsia="en-IN"/>
        </w:rPr>
        <w:t>Good A.G.</w:t>
      </w:r>
      <w:r w:rsidR="001647DC">
        <w:rPr>
          <w:sz w:val="19"/>
          <w:szCs w:val="19"/>
          <w:lang w:val="en-IN" w:eastAsia="en-IN"/>
        </w:rPr>
        <w:t>,</w:t>
      </w:r>
      <w:r w:rsidRPr="00540F78">
        <w:rPr>
          <w:sz w:val="19"/>
          <w:szCs w:val="19"/>
          <w:lang w:val="en-IN" w:eastAsia="en-IN"/>
        </w:rPr>
        <w:t xml:space="preserve"> Beatty P.H. (2011) Fertilizing Nature: A Tragedy of Excess in the Commons. PLOS Biology 9, e1001124.</w:t>
      </w:r>
    </w:p>
    <w:p w:rsidR="001647DC" w:rsidRDefault="001647DC" w:rsidP="001647DC">
      <w:pPr>
        <w:numPr>
          <w:ilvl w:val="0"/>
          <w:numId w:val="4"/>
        </w:numPr>
        <w:shd w:val="clear" w:color="auto" w:fill="FFFFFF"/>
        <w:ind w:left="284" w:hanging="284"/>
        <w:jc w:val="both"/>
        <w:rPr>
          <w:sz w:val="19"/>
          <w:szCs w:val="19"/>
          <w:lang w:val="en-IN" w:eastAsia="en-IN"/>
        </w:rPr>
      </w:pPr>
      <w:r w:rsidRPr="001647DC">
        <w:rPr>
          <w:sz w:val="19"/>
          <w:szCs w:val="19"/>
          <w:lang w:val="en-IN" w:eastAsia="en-IN"/>
        </w:rPr>
        <w:t>McAllister, C.H., Beatty, P.H.</w:t>
      </w:r>
      <w:r>
        <w:rPr>
          <w:sz w:val="19"/>
          <w:szCs w:val="19"/>
          <w:lang w:val="en-IN" w:eastAsia="en-IN"/>
        </w:rPr>
        <w:t>,</w:t>
      </w:r>
      <w:r w:rsidRPr="001647DC">
        <w:rPr>
          <w:sz w:val="19"/>
          <w:szCs w:val="19"/>
          <w:lang w:val="en-IN" w:eastAsia="en-IN"/>
        </w:rPr>
        <w:t xml:space="preserve"> Good, A.G. (2012) Engineering nitrogen use efficient crop plants: the current status. Plant Biotechnology Journal. 10, 1011–1025.</w:t>
      </w:r>
    </w:p>
    <w:p w:rsidR="001647DC" w:rsidRDefault="001647DC" w:rsidP="001647DC">
      <w:pPr>
        <w:numPr>
          <w:ilvl w:val="0"/>
          <w:numId w:val="4"/>
        </w:numPr>
        <w:shd w:val="clear" w:color="auto" w:fill="FFFFFF"/>
        <w:ind w:left="284" w:hanging="284"/>
        <w:jc w:val="both"/>
        <w:rPr>
          <w:sz w:val="19"/>
          <w:szCs w:val="19"/>
          <w:lang w:val="en-IN" w:eastAsia="en-IN"/>
        </w:rPr>
      </w:pPr>
      <w:r w:rsidRPr="001647DC">
        <w:rPr>
          <w:sz w:val="19"/>
          <w:szCs w:val="19"/>
          <w:lang w:val="en-IN" w:eastAsia="en-IN"/>
        </w:rPr>
        <w:t>Xu, G., Fan, X.</w:t>
      </w:r>
      <w:r>
        <w:rPr>
          <w:sz w:val="19"/>
          <w:szCs w:val="19"/>
          <w:lang w:val="en-IN" w:eastAsia="en-IN"/>
        </w:rPr>
        <w:t>,</w:t>
      </w:r>
      <w:r w:rsidRPr="001647DC">
        <w:rPr>
          <w:sz w:val="19"/>
          <w:szCs w:val="19"/>
          <w:lang w:val="en-IN" w:eastAsia="en-IN"/>
        </w:rPr>
        <w:t xml:space="preserve"> Miller, A.J. (2012) Plant nitrogen assimilation and use efficiency. Annual Review of Plant Biology. 63, 153-82.</w:t>
      </w:r>
    </w:p>
    <w:p w:rsidR="001647DC" w:rsidRDefault="001647DC" w:rsidP="001647DC">
      <w:pPr>
        <w:numPr>
          <w:ilvl w:val="0"/>
          <w:numId w:val="4"/>
        </w:numPr>
        <w:shd w:val="clear" w:color="auto" w:fill="FFFFFF"/>
        <w:ind w:left="284" w:hanging="284"/>
        <w:jc w:val="both"/>
        <w:rPr>
          <w:sz w:val="19"/>
          <w:szCs w:val="19"/>
          <w:lang w:val="en-IN" w:eastAsia="en-IN"/>
        </w:rPr>
      </w:pPr>
      <w:r>
        <w:rPr>
          <w:sz w:val="19"/>
          <w:szCs w:val="19"/>
          <w:lang w:val="en-IN" w:eastAsia="en-IN"/>
        </w:rPr>
        <w:t xml:space="preserve">Mauceri, A. (2018). </w:t>
      </w:r>
      <w:r w:rsidRPr="001647DC">
        <w:rPr>
          <w:sz w:val="19"/>
          <w:szCs w:val="19"/>
          <w:lang w:val="en-IN" w:eastAsia="en-IN"/>
        </w:rPr>
        <w:t>Molecular and physiological traits related to Nitrogen Use Efficiency (NUE) in eggplant (</w:t>
      </w:r>
      <w:r w:rsidRPr="001647DC">
        <w:rPr>
          <w:i/>
          <w:sz w:val="19"/>
          <w:szCs w:val="19"/>
          <w:lang w:val="en-IN" w:eastAsia="en-IN"/>
        </w:rPr>
        <w:t>Solanum melongena</w:t>
      </w:r>
      <w:r w:rsidRPr="001647DC">
        <w:rPr>
          <w:sz w:val="19"/>
          <w:szCs w:val="19"/>
          <w:lang w:val="en-IN" w:eastAsia="en-IN"/>
        </w:rPr>
        <w:t xml:space="preserve"> L.)</w:t>
      </w:r>
      <w:r>
        <w:rPr>
          <w:sz w:val="19"/>
          <w:szCs w:val="19"/>
          <w:lang w:val="en-IN" w:eastAsia="en-IN"/>
        </w:rPr>
        <w:t xml:space="preserve">. PhD Thesis, Università </w:t>
      </w:r>
      <w:r w:rsidRPr="001647DC">
        <w:rPr>
          <w:i/>
          <w:sz w:val="19"/>
          <w:szCs w:val="19"/>
          <w:lang w:val="en-IN" w:eastAsia="en-IN"/>
        </w:rPr>
        <w:t>Mediterranea</w:t>
      </w:r>
      <w:r>
        <w:rPr>
          <w:sz w:val="19"/>
          <w:szCs w:val="19"/>
          <w:lang w:val="en-IN" w:eastAsia="en-IN"/>
        </w:rPr>
        <w:t xml:space="preserve"> di Reggio Calabria.</w:t>
      </w:r>
    </w:p>
    <w:p w:rsidR="001647DC" w:rsidRPr="001647DC" w:rsidRDefault="00CE69D1" w:rsidP="00FF321F">
      <w:pPr>
        <w:numPr>
          <w:ilvl w:val="0"/>
          <w:numId w:val="4"/>
        </w:numPr>
        <w:shd w:val="clear" w:color="auto" w:fill="FFFFFF"/>
        <w:ind w:left="284" w:hanging="284"/>
        <w:jc w:val="both"/>
        <w:rPr>
          <w:sz w:val="19"/>
          <w:szCs w:val="19"/>
          <w:lang w:val="en-IN" w:eastAsia="en-IN"/>
        </w:rPr>
      </w:pPr>
      <w:r w:rsidRPr="00CE69D1">
        <w:rPr>
          <w:sz w:val="19"/>
          <w:szCs w:val="19"/>
          <w:lang w:val="en-IN" w:eastAsia="en-IN"/>
        </w:rPr>
        <w:t>Mauceri</w:t>
      </w:r>
      <w:r w:rsidR="00FF321F">
        <w:rPr>
          <w:sz w:val="19"/>
          <w:szCs w:val="19"/>
          <w:lang w:val="en-IN" w:eastAsia="en-IN"/>
        </w:rPr>
        <w:t>,</w:t>
      </w:r>
      <w:r w:rsidRPr="00CE69D1">
        <w:rPr>
          <w:sz w:val="19"/>
          <w:szCs w:val="19"/>
          <w:lang w:val="en-IN" w:eastAsia="en-IN"/>
        </w:rPr>
        <w:t xml:space="preserve"> A, Bassolino L, Lupini A, Badeck F, Rizza F, Schiavi M, Toppino L, Abenavoli MR, Rotino GL, Sunseri F (2018) Genetic variation in eggplant (</w:t>
      </w:r>
      <w:r w:rsidRPr="00FF321F">
        <w:rPr>
          <w:i/>
          <w:sz w:val="19"/>
          <w:szCs w:val="19"/>
          <w:lang w:val="en-IN" w:eastAsia="en-IN"/>
        </w:rPr>
        <w:t>Solanum melongena</w:t>
      </w:r>
      <w:r w:rsidRPr="00CE69D1">
        <w:rPr>
          <w:sz w:val="19"/>
          <w:szCs w:val="19"/>
          <w:lang w:val="en-IN" w:eastAsia="en-IN"/>
        </w:rPr>
        <w:t xml:space="preserve"> L.) for Nitrogen Use Efficiency (NUE) under contrasting NO</w:t>
      </w:r>
      <w:r w:rsidRPr="00FF321F">
        <w:rPr>
          <w:sz w:val="19"/>
          <w:szCs w:val="19"/>
          <w:vertAlign w:val="subscript"/>
          <w:lang w:val="en-IN" w:eastAsia="en-IN"/>
        </w:rPr>
        <w:t>3</w:t>
      </w:r>
      <w:r w:rsidRPr="00FF321F">
        <w:rPr>
          <w:sz w:val="19"/>
          <w:szCs w:val="19"/>
          <w:vertAlign w:val="superscript"/>
          <w:lang w:val="en-IN" w:eastAsia="en-IN"/>
        </w:rPr>
        <w:t>-</w:t>
      </w:r>
      <w:r w:rsidRPr="00CE69D1">
        <w:rPr>
          <w:sz w:val="19"/>
          <w:szCs w:val="19"/>
          <w:lang w:val="en-IN" w:eastAsia="en-IN"/>
        </w:rPr>
        <w:t xml:space="preserve"> supply</w:t>
      </w:r>
      <w:r w:rsidR="00FF321F">
        <w:rPr>
          <w:sz w:val="19"/>
          <w:szCs w:val="19"/>
          <w:lang w:val="en-IN" w:eastAsia="en-IN"/>
        </w:rPr>
        <w:t>. J Integrative Plant Biology (</w:t>
      </w:r>
      <w:r w:rsidR="00FF321F" w:rsidRPr="00FF321F">
        <w:rPr>
          <w:i/>
          <w:sz w:val="19"/>
          <w:szCs w:val="19"/>
          <w:lang w:val="en-IN" w:eastAsia="en-IN"/>
        </w:rPr>
        <w:t>submitted</w:t>
      </w:r>
      <w:r w:rsidR="00FF321F">
        <w:rPr>
          <w:sz w:val="19"/>
          <w:szCs w:val="19"/>
          <w:lang w:val="en-IN" w:eastAsia="en-IN"/>
        </w:rPr>
        <w:t>).</w:t>
      </w:r>
    </w:p>
    <w:p w:rsidR="001A52CE" w:rsidRPr="0005164C" w:rsidRDefault="001A52CE" w:rsidP="001A52CE">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rsidR="009714B2" w:rsidRDefault="009714B2" w:rsidP="001A52CE">
      <w:pPr>
        <w:jc w:val="both"/>
        <w:rPr>
          <w:sz w:val="19"/>
          <w:szCs w:val="19"/>
        </w:rPr>
      </w:pPr>
      <w:r w:rsidRPr="009714B2">
        <w:rPr>
          <w:sz w:val="19"/>
          <w:szCs w:val="19"/>
        </w:rPr>
        <w:t xml:space="preserve">Associate Professor of Plant Genetics and Breeding at the Dipartimento Agraria, Università </w:t>
      </w:r>
      <w:r w:rsidRPr="009714B2">
        <w:rPr>
          <w:i/>
          <w:sz w:val="19"/>
          <w:szCs w:val="19"/>
        </w:rPr>
        <w:t>Mediterranea</w:t>
      </w:r>
      <w:r w:rsidRPr="009714B2">
        <w:rPr>
          <w:sz w:val="19"/>
          <w:szCs w:val="19"/>
        </w:rPr>
        <w:t xml:space="preserve"> di Reggio Calabria, Italy. His research activity is focused on genetics and </w:t>
      </w:r>
      <w:r>
        <w:rPr>
          <w:sz w:val="19"/>
          <w:szCs w:val="19"/>
        </w:rPr>
        <w:t>MAS</w:t>
      </w:r>
      <w:r w:rsidRPr="009714B2">
        <w:rPr>
          <w:sz w:val="19"/>
          <w:szCs w:val="19"/>
        </w:rPr>
        <w:t xml:space="preserve"> on </w:t>
      </w:r>
      <w:r>
        <w:rPr>
          <w:sz w:val="19"/>
          <w:szCs w:val="19"/>
        </w:rPr>
        <w:t>vegetable</w:t>
      </w:r>
      <w:r w:rsidRPr="009714B2">
        <w:rPr>
          <w:sz w:val="19"/>
          <w:szCs w:val="19"/>
        </w:rPr>
        <w:t xml:space="preserve"> crops. </w:t>
      </w:r>
      <w:r w:rsidRPr="009714B2">
        <w:rPr>
          <w:sz w:val="19"/>
          <w:szCs w:val="19"/>
        </w:rPr>
        <w:t>Genomics and Transcriptomics</w:t>
      </w:r>
      <w:r>
        <w:rPr>
          <w:sz w:val="19"/>
          <w:szCs w:val="19"/>
        </w:rPr>
        <w:t>,</w:t>
      </w:r>
      <w:r w:rsidRPr="009714B2">
        <w:rPr>
          <w:sz w:val="19"/>
          <w:szCs w:val="19"/>
        </w:rPr>
        <w:t xml:space="preserve"> QTL analysis and cloning </w:t>
      </w:r>
      <w:r>
        <w:rPr>
          <w:sz w:val="19"/>
          <w:szCs w:val="19"/>
        </w:rPr>
        <w:t>and p</w:t>
      </w:r>
      <w:r w:rsidRPr="009714B2">
        <w:rPr>
          <w:sz w:val="19"/>
          <w:szCs w:val="19"/>
        </w:rPr>
        <w:t>lant abiotic stress with particular interest to Nitrogen Use Efficiency (NUE)</w:t>
      </w:r>
      <w:r>
        <w:rPr>
          <w:sz w:val="19"/>
          <w:szCs w:val="19"/>
        </w:rPr>
        <w:t xml:space="preserve"> are his interest</w:t>
      </w:r>
      <w:r w:rsidRPr="009714B2">
        <w:rPr>
          <w:sz w:val="19"/>
          <w:szCs w:val="19"/>
        </w:rPr>
        <w:t>.</w:t>
      </w:r>
      <w:r>
        <w:rPr>
          <w:sz w:val="19"/>
          <w:szCs w:val="19"/>
        </w:rPr>
        <w:t xml:space="preserve"> </w:t>
      </w:r>
      <w:r w:rsidRPr="009714B2">
        <w:rPr>
          <w:sz w:val="19"/>
          <w:szCs w:val="19"/>
        </w:rPr>
        <w:t>Associate Editor of BMC Plant Biology. Editor-in-Chief for the open access Journal of Genetics and Plant Breeding. Occasional reviewer for several scientific journals</w:t>
      </w:r>
      <w:r>
        <w:rPr>
          <w:sz w:val="19"/>
          <w:szCs w:val="19"/>
        </w:rPr>
        <w:t>,</w:t>
      </w:r>
      <w:r w:rsidRPr="009714B2">
        <w:rPr>
          <w:sz w:val="19"/>
          <w:szCs w:val="19"/>
        </w:rPr>
        <w:t xml:space="preserve"> </w:t>
      </w:r>
      <w:r>
        <w:rPr>
          <w:sz w:val="19"/>
          <w:szCs w:val="19"/>
        </w:rPr>
        <w:t>h</w:t>
      </w:r>
      <w:r w:rsidRPr="009714B2">
        <w:rPr>
          <w:sz w:val="19"/>
          <w:szCs w:val="19"/>
        </w:rPr>
        <w:t xml:space="preserve">e is author of about </w:t>
      </w:r>
      <w:r>
        <w:rPr>
          <w:sz w:val="19"/>
          <w:szCs w:val="19"/>
        </w:rPr>
        <w:t>60</w:t>
      </w:r>
      <w:r w:rsidRPr="009714B2">
        <w:rPr>
          <w:sz w:val="19"/>
          <w:szCs w:val="19"/>
        </w:rPr>
        <w:t xml:space="preserve"> scientific publications indexed in ISI and Scopus databases.</w:t>
      </w:r>
    </w:p>
    <w:p w:rsidR="001A52CE" w:rsidRPr="009714B2" w:rsidRDefault="009714B2" w:rsidP="001A52CE">
      <w:pPr>
        <w:jc w:val="both"/>
        <w:rPr>
          <w:sz w:val="19"/>
          <w:szCs w:val="19"/>
        </w:rPr>
      </w:pPr>
      <w:r w:rsidRPr="009714B2">
        <w:rPr>
          <w:sz w:val="19"/>
          <w:szCs w:val="19"/>
        </w:rPr>
        <w:t xml:space="preserve"> </w:t>
      </w:r>
    </w:p>
    <w:p w:rsidR="001A52CE" w:rsidRPr="0005164C" w:rsidRDefault="001A52CE" w:rsidP="001A52CE">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rsidR="001A52CE" w:rsidRPr="0005164C" w:rsidRDefault="001A52CE" w:rsidP="001A52CE">
      <w:pPr>
        <w:autoSpaceDE w:val="0"/>
        <w:autoSpaceDN w:val="0"/>
        <w:adjustRightInd w:val="0"/>
        <w:jc w:val="left"/>
        <w:rPr>
          <w:sz w:val="19"/>
          <w:szCs w:val="19"/>
          <w:lang w:val="en-NZ"/>
        </w:rPr>
      </w:pPr>
    </w:p>
    <w:p w:rsidR="001A52CE" w:rsidRPr="0005164C" w:rsidRDefault="00623A2B" w:rsidP="001A52CE">
      <w:pPr>
        <w:autoSpaceDE w:val="0"/>
        <w:autoSpaceDN w:val="0"/>
        <w:adjustRightInd w:val="0"/>
        <w:jc w:val="left"/>
        <w:rPr>
          <w:sz w:val="19"/>
          <w:szCs w:val="19"/>
          <w:lang w:val="en-NZ"/>
        </w:rPr>
      </w:pPr>
      <w:r>
        <w:rPr>
          <w:noProof/>
          <w:sz w:val="19"/>
          <w:szCs w:val="19"/>
          <w:lang w:val="en-NZ"/>
        </w:rPr>
        <w:drawing>
          <wp:inline distT="0" distB="0" distL="0" distR="0">
            <wp:extent cx="1117600" cy="1636104"/>
            <wp:effectExtent l="0" t="0" r="0" b="254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180301_155504.jpeg"/>
                    <pic:cNvPicPr/>
                  </pic:nvPicPr>
                  <pic:blipFill rotWithShape="1">
                    <a:blip r:embed="rId6" cstate="print">
                      <a:extLst>
                        <a:ext uri="{28A0092B-C50C-407E-A947-70E740481C1C}">
                          <a14:useLocalDpi xmlns:a14="http://schemas.microsoft.com/office/drawing/2010/main" val="0"/>
                        </a:ext>
                      </a:extLst>
                    </a:blip>
                    <a:srcRect l="16186" t="8615"/>
                    <a:stretch/>
                  </pic:blipFill>
                  <pic:spPr bwMode="auto">
                    <a:xfrm>
                      <a:off x="0" y="0"/>
                      <a:ext cx="1175474" cy="1720828"/>
                    </a:xfrm>
                    <a:prstGeom prst="rect">
                      <a:avLst/>
                    </a:prstGeom>
                    <a:ln>
                      <a:noFill/>
                    </a:ln>
                    <a:extLst>
                      <a:ext uri="{53640926-AAD7-44D8-BBD7-CCE9431645EC}">
                        <a14:shadowObscured xmlns:a14="http://schemas.microsoft.com/office/drawing/2010/main"/>
                      </a:ext>
                    </a:extLst>
                  </pic:spPr>
                </pic:pic>
              </a:graphicData>
            </a:graphic>
          </wp:inline>
        </w:drawing>
      </w:r>
      <w:r w:rsidR="001A52CE" w:rsidRPr="0005164C">
        <w:rPr>
          <w:sz w:val="19"/>
          <w:szCs w:val="19"/>
          <w:lang w:val="en-NZ"/>
        </w:rPr>
        <w:br/>
      </w: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Full Name:</w:t>
      </w:r>
      <w:r w:rsidR="00F71773">
        <w:rPr>
          <w:sz w:val="19"/>
          <w:szCs w:val="19"/>
          <w:lang w:val="en-NZ"/>
        </w:rPr>
        <w:t xml:space="preserve"> SUNSERI Francesco</w:t>
      </w: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Contact number:</w:t>
      </w:r>
      <w:r w:rsidR="00F71773">
        <w:rPr>
          <w:sz w:val="19"/>
          <w:szCs w:val="19"/>
          <w:lang w:val="en-NZ"/>
        </w:rPr>
        <w:t xml:space="preserve"> </w:t>
      </w:r>
      <w:r w:rsidR="008C05C3">
        <w:rPr>
          <w:sz w:val="19"/>
          <w:szCs w:val="19"/>
          <w:lang w:val="en-NZ"/>
        </w:rPr>
        <w:t>+39 329 3178401</w:t>
      </w:r>
      <w:r w:rsidRPr="0005164C">
        <w:rPr>
          <w:sz w:val="19"/>
          <w:szCs w:val="19"/>
          <w:lang w:val="en-NZ"/>
        </w:rPr>
        <w:br/>
        <w:t>Session name:</w:t>
      </w:r>
      <w:r w:rsidR="00805FD5">
        <w:rPr>
          <w:sz w:val="19"/>
          <w:szCs w:val="19"/>
          <w:lang w:val="en-NZ"/>
        </w:rPr>
        <w:t xml:space="preserve"> </w:t>
      </w:r>
      <w:r w:rsidR="00805FD5" w:rsidRPr="00805FD5">
        <w:rPr>
          <w:sz w:val="19"/>
          <w:szCs w:val="19"/>
          <w:lang w:val="en-NZ"/>
        </w:rPr>
        <w:t>Plant Nutritional Genomics</w:t>
      </w:r>
      <w:r w:rsidRPr="0005164C">
        <w:rPr>
          <w:sz w:val="19"/>
          <w:szCs w:val="19"/>
          <w:lang w:val="en-NZ"/>
        </w:rPr>
        <w:br/>
        <w:t>Category: Oral presentation</w:t>
      </w:r>
    </w:p>
    <w:p w:rsidR="00803340" w:rsidRPr="00FF321F" w:rsidRDefault="001A52CE" w:rsidP="00FF321F">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805FD5">
        <w:rPr>
          <w:sz w:val="18"/>
          <w:szCs w:val="18"/>
          <w:lang w:val="en-IN"/>
        </w:rPr>
        <w:t xml:space="preserve"> AA5046235</w:t>
      </w:r>
      <w:bookmarkStart w:id="1" w:name="_GoBack"/>
      <w:bookmarkEnd w:id="1"/>
    </w:p>
    <w:sectPr w:rsidR="00803340" w:rsidRPr="00FF321F" w:rsidSect="009714B2">
      <w:type w:val="continuous"/>
      <w:pgSz w:w="11909" w:h="16834" w:code="9"/>
      <w:pgMar w:top="1077" w:right="731" w:bottom="1985" w:left="731"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B0D23"/>
    <w:multiLevelType w:val="multilevel"/>
    <w:tmpl w:val="756C388A"/>
    <w:lvl w:ilvl="0">
      <w:start w:val="1"/>
      <w:numFmt w:val="decimal"/>
      <w:lvlText w:val="%1."/>
      <w:lvlJc w:val="left"/>
      <w:pPr>
        <w:tabs>
          <w:tab w:val="num" w:pos="360"/>
        </w:tabs>
        <w:ind w:left="360" w:hanging="360"/>
      </w:pPr>
    </w:lvl>
    <w:lvl w:ilvl="1">
      <w:start w:val="4"/>
      <w:numFmt w:val="lowerRoman"/>
      <w:lvlText w:val="%2."/>
      <w:lvlJc w:val="left"/>
      <w:pPr>
        <w:ind w:left="1440" w:hanging="72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lvlOverride w:ilvl="0">
      <w:startOverride w:val="2"/>
    </w:lvlOverride>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2CE"/>
    <w:rsid w:val="000F7891"/>
    <w:rsid w:val="00127405"/>
    <w:rsid w:val="001647DC"/>
    <w:rsid w:val="001864D1"/>
    <w:rsid w:val="001A52CE"/>
    <w:rsid w:val="00327B21"/>
    <w:rsid w:val="00331429"/>
    <w:rsid w:val="003D6D8C"/>
    <w:rsid w:val="00540F78"/>
    <w:rsid w:val="00623A2B"/>
    <w:rsid w:val="006334DB"/>
    <w:rsid w:val="00805FD5"/>
    <w:rsid w:val="0085646F"/>
    <w:rsid w:val="008C05C3"/>
    <w:rsid w:val="00904B83"/>
    <w:rsid w:val="009714B2"/>
    <w:rsid w:val="009A6B2C"/>
    <w:rsid w:val="009D52C5"/>
    <w:rsid w:val="00BD3ACD"/>
    <w:rsid w:val="00CD164E"/>
    <w:rsid w:val="00CE69D1"/>
    <w:rsid w:val="00D83530"/>
    <w:rsid w:val="00E47928"/>
    <w:rsid w:val="00ED1FE7"/>
    <w:rsid w:val="00F71773"/>
    <w:rsid w:val="00FF321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23107"/>
  <w15:docId w15:val="{9EA3F79D-4A63-44B2-93CC-B32FC42E5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Corpotesto">
    <w:name w:val="Body Text"/>
    <w:basedOn w:val="Normale"/>
    <w:link w:val="CorpotestoCarattere"/>
    <w:uiPriority w:val="99"/>
    <w:rsid w:val="001A52CE"/>
    <w:pPr>
      <w:tabs>
        <w:tab w:val="left" w:pos="288"/>
      </w:tabs>
      <w:spacing w:after="120" w:line="228" w:lineRule="auto"/>
      <w:ind w:firstLine="288"/>
      <w:jc w:val="both"/>
    </w:pPr>
    <w:rPr>
      <w:rFonts w:eastAsia="MS Mincho"/>
      <w:spacing w:val="-1"/>
    </w:rPr>
  </w:style>
  <w:style w:type="character" w:customStyle="1" w:styleId="CorpotestoCarattere">
    <w:name w:val="Corpo testo Carattere"/>
    <w:basedOn w:val="Carpredefinitoparagrafo"/>
    <w:link w:val="Corpotesto"/>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Testofumetto">
    <w:name w:val="Balloon Text"/>
    <w:basedOn w:val="Normale"/>
    <w:link w:val="TestofumettoCarattere"/>
    <w:uiPriority w:val="99"/>
    <w:semiHidden/>
    <w:unhideWhenUsed/>
    <w:rsid w:val="001A52C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52CE"/>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642</Words>
  <Characters>3662</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Francesco Sunseri</cp:lastModifiedBy>
  <cp:revision>12</cp:revision>
  <dcterms:created xsi:type="dcterms:W3CDTF">2018-11-28T15:57:00Z</dcterms:created>
  <dcterms:modified xsi:type="dcterms:W3CDTF">2018-11-30T19:08:00Z</dcterms:modified>
</cp:coreProperties>
</file>